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E288E" w14:textId="761D9767" w:rsidR="00083662" w:rsidRPr="0035034A" w:rsidRDefault="00083662" w:rsidP="00083662">
      <w:pPr>
        <w:tabs>
          <w:tab w:val="right" w:pos="9630"/>
        </w:tabs>
        <w:overflowPunct w:val="0"/>
        <w:autoSpaceDE w:val="0"/>
        <w:autoSpaceDN w:val="0"/>
        <w:adjustRightInd w:val="0"/>
        <w:textAlignment w:val="baseline"/>
        <w:rPr>
          <w:rFonts w:asciiTheme="minorEastAsia" w:hAnsiTheme="minorEastAsia" w:cs="Times New Roman"/>
          <w:b/>
          <w:bCs/>
          <w:kern w:val="0"/>
          <w:sz w:val="24"/>
          <w:szCs w:val="18"/>
          <w:lang w:val="en-GB"/>
        </w:rPr>
      </w:pPr>
      <w:r w:rsidRPr="00A26D85">
        <w:rPr>
          <w:rFonts w:ascii="Arial" w:eastAsia="Dotum" w:hAnsi="Arial" w:cs="Times New Roman"/>
          <w:b/>
          <w:bCs/>
          <w:noProof/>
          <w:kern w:val="0"/>
          <w:sz w:val="24"/>
          <w:szCs w:val="18"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37FD5E6" wp14:editId="7A3D9B8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: 形状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668D6A" id="任意多边形: 形状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3GPP TSG-RAN WG3 Meeting #11</w:t>
      </w:r>
      <w:r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9bis-e</w: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ab/>
        <w:t>R3-</w:t>
      </w:r>
      <w:r w:rsidRPr="00B26539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2</w:t>
      </w:r>
      <w:r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</w:t>
      </w:r>
      <w:r w:rsidR="007C0367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1443</w:t>
      </w:r>
    </w:p>
    <w:p w14:paraId="4BF14776" w14:textId="53B6B663" w:rsidR="00AA3FAE" w:rsidRPr="00AA3FAE" w:rsidRDefault="00083662" w:rsidP="00083662">
      <w:pPr>
        <w:tabs>
          <w:tab w:val="right" w:pos="9630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黑体"/>
          <w:b/>
          <w:bCs/>
          <w:kern w:val="0"/>
          <w:sz w:val="24"/>
          <w:lang w:val="en-GB"/>
        </w:rPr>
      </w:pPr>
      <w:r>
        <w:rPr>
          <w:rFonts w:ascii="Arial" w:eastAsia="宋体" w:hAnsi="Arial" w:cs="黑体"/>
          <w:b/>
          <w:bCs/>
          <w:noProof/>
          <w:kern w:val="0"/>
          <w:sz w:val="24"/>
        </w:rPr>
        <w:t>O</w:t>
      </w:r>
      <w:r>
        <w:rPr>
          <w:rFonts w:ascii="Arial" w:eastAsia="宋体" w:hAnsi="Arial" w:cs="黑体" w:hint="eastAsia"/>
          <w:b/>
          <w:bCs/>
          <w:noProof/>
          <w:kern w:val="0"/>
          <w:sz w:val="24"/>
        </w:rPr>
        <w:t>nline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, 17</w:t>
      </w:r>
      <w:r>
        <w:rPr>
          <w:rFonts w:ascii="Arial" w:eastAsia="宋体" w:hAnsi="Arial" w:cs="黑体" w:hint="eastAsia"/>
          <w:b/>
          <w:bCs/>
          <w:noProof/>
          <w:kern w:val="0"/>
          <w:sz w:val="24"/>
          <w:vertAlign w:val="superscript"/>
        </w:rPr>
        <w:t>t</w:t>
      </w:r>
      <w:r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h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– 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26</w:t>
      </w:r>
      <w:r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th</w:t>
      </w:r>
      <w:r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April</w:t>
      </w:r>
      <w:r w:rsidRPr="00A26D85">
        <w:rPr>
          <w:rFonts w:ascii="Arial" w:eastAsia="宋体" w:hAnsi="Arial" w:cs="黑体"/>
          <w:b/>
          <w:bCs/>
          <w:noProof/>
          <w:kern w:val="0"/>
          <w:sz w:val="24"/>
        </w:rPr>
        <w:t>, 202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3</w:t>
      </w:r>
      <w:r w:rsidR="00AA3FAE" w:rsidRPr="00AA3FAE">
        <w:rPr>
          <w:rFonts w:ascii="Arial" w:eastAsia="宋体" w:hAnsi="Arial" w:cs="黑体"/>
          <w:b/>
          <w:bCs/>
          <w:kern w:val="0"/>
          <w:sz w:val="24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</w:p>
    <w:p w14:paraId="15C0A33D" w14:textId="527A3356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Agenda Item: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13.</w:t>
      </w:r>
      <w:r w:rsidR="00200B66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4</w:t>
      </w:r>
    </w:p>
    <w:p w14:paraId="3A7B9F35" w14:textId="5CEF1D8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Source: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Lenovo</w:t>
      </w:r>
    </w:p>
    <w:p w14:paraId="18B7FED9" w14:textId="2B28E779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3865" w:hangingChars="1750" w:hanging="3865"/>
        <w:textAlignment w:val="baseline"/>
        <w:rPr>
          <w:rFonts w:ascii="Arial" w:eastAsia="MS Mincho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Title: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</w:r>
      <w:r w:rsidR="000E52E6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PCI collision</w:t>
      </w:r>
      <w:r w:rsidR="008A6D83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 mitigation of</w:t>
      </w:r>
      <w:r w:rsidR="00F729C9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 mobile</w:t>
      </w:r>
      <w:r w:rsidR="008A6D83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 IAB-node</w:t>
      </w:r>
      <w:r w:rsidR="00F729C9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 mobility</w:t>
      </w:r>
    </w:p>
    <w:p w14:paraId="586F74AD" w14:textId="7777777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Document for: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Discussion and decision</w:t>
      </w:r>
    </w:p>
    <w:p w14:paraId="46DBFDB8" w14:textId="1885E262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Dotum" w:hAnsi="Arial" w:cs="Times New Roman"/>
          <w:kern w:val="0"/>
          <w:sz w:val="36"/>
          <w:szCs w:val="36"/>
          <w:lang w:val="en-GB"/>
        </w:rPr>
        <w:t>Introduction</w:t>
      </w:r>
      <w:bookmarkStart w:id="0" w:name="_Ref174151459"/>
      <w:bookmarkStart w:id="1" w:name="_Ref189809556"/>
    </w:p>
    <w:p w14:paraId="055EB1BC" w14:textId="67F708A5" w:rsidR="00B12328" w:rsidRDefault="00B12328" w:rsidP="002F0CB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n last </w:t>
      </w:r>
      <w:r w:rsidR="00137B7C">
        <w:rPr>
          <w:rFonts w:ascii="Times New Roman" w:eastAsia="宋体" w:hAnsi="Times New Roman" w:cs="Times New Roman"/>
          <w:kern w:val="0"/>
          <w:sz w:val="20"/>
          <w:szCs w:val="20"/>
        </w:rPr>
        <w:t xml:space="preserve">two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RAN3 meeting</w:t>
      </w:r>
      <w:r w:rsidR="00137B7C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, following agreements </w:t>
      </w:r>
      <w:r w:rsidR="00137B7C">
        <w:rPr>
          <w:rFonts w:ascii="Times New Roman" w:eastAsia="宋体" w:hAnsi="Times New Roman" w:cs="Times New Roman"/>
          <w:kern w:val="0"/>
          <w:sz w:val="20"/>
          <w:szCs w:val="20"/>
        </w:rPr>
        <w:t>had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been achieved for interference mitigation</w:t>
      </w:r>
      <w:r w:rsidR="00FF3A0E">
        <w:rPr>
          <w:rFonts w:ascii="Times New Roman" w:eastAsia="宋体" w:hAnsi="Times New Roman" w:cs="Times New Roman"/>
          <w:kern w:val="0"/>
          <w:sz w:val="20"/>
          <w:szCs w:val="20"/>
        </w:rPr>
        <w:t xml:space="preserve"> [</w:t>
      </w:r>
      <w:r w:rsidR="00FC109E">
        <w:rPr>
          <w:rFonts w:ascii="Times New Roman" w:eastAsia="宋体" w:hAnsi="Times New Roman" w:cs="Times New Roman"/>
          <w:kern w:val="0"/>
          <w:sz w:val="20"/>
          <w:szCs w:val="20"/>
        </w:rPr>
        <w:t>1</w:t>
      </w:r>
      <w:r w:rsidR="00FF3A0E">
        <w:rPr>
          <w:rFonts w:ascii="Times New Roman" w:eastAsia="宋体" w:hAnsi="Times New Roman" w:cs="Times New Roman"/>
          <w:kern w:val="0"/>
          <w:sz w:val="20"/>
          <w:szCs w:val="20"/>
        </w:rPr>
        <w:t>]</w:t>
      </w:r>
      <w:r w:rsidR="009B67DC">
        <w:rPr>
          <w:rFonts w:ascii="Times New Roman" w:eastAsia="宋体" w:hAnsi="Times New Roman" w:cs="Times New Roman"/>
          <w:kern w:val="0"/>
          <w:sz w:val="20"/>
          <w:szCs w:val="20"/>
        </w:rPr>
        <w:t xml:space="preserve"> [</w:t>
      </w:r>
      <w:r w:rsidR="00FC109E">
        <w:rPr>
          <w:rFonts w:ascii="Times New Roman" w:eastAsia="宋体" w:hAnsi="Times New Roman" w:cs="Times New Roman"/>
          <w:kern w:val="0"/>
          <w:sz w:val="20"/>
          <w:szCs w:val="20"/>
        </w:rPr>
        <w:t>2</w:t>
      </w:r>
      <w:r w:rsidR="009B67DC">
        <w:rPr>
          <w:rFonts w:ascii="Times New Roman" w:eastAsia="宋体" w:hAnsi="Times New Roman" w:cs="Times New Roman"/>
          <w:kern w:val="0"/>
          <w:sz w:val="20"/>
          <w:szCs w:val="20"/>
        </w:rPr>
        <w:t>]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tbl>
      <w:tblPr>
        <w:tblW w:w="9680" w:type="dxa"/>
        <w:tblInd w:w="-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80"/>
      </w:tblGrid>
      <w:tr w:rsidR="00B12328" w14:paraId="6D76BDF0" w14:textId="77777777" w:rsidTr="00F07278">
        <w:trPr>
          <w:trHeight w:val="2820"/>
        </w:trPr>
        <w:tc>
          <w:tcPr>
            <w:tcW w:w="9680" w:type="dxa"/>
          </w:tcPr>
          <w:p w14:paraId="57E3E158" w14:textId="087FF6CD" w:rsidR="009D5AE6" w:rsidRPr="009D5AE6" w:rsidRDefault="009D5AE6" w:rsidP="00421130">
            <w:pPr>
              <w:ind w:left="144" w:hanging="144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9D5AE6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R</w:t>
            </w:r>
            <w:r w:rsidRPr="009D5AE6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AN3 117-e</w:t>
            </w:r>
            <w:r w:rsidR="00FC109E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 [1]</w:t>
            </w:r>
            <w:r w:rsidRPr="009D5AE6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:</w:t>
            </w:r>
          </w:p>
          <w:p w14:paraId="171D99D6" w14:textId="3F23B502" w:rsidR="00B12328" w:rsidRPr="002C1786" w:rsidRDefault="00B12328" w:rsidP="00421130">
            <w:pPr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</w:pPr>
            <w:r w:rsidRPr="003D3FCC"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  <w:t>PCI space partitioning via OAM configuration can be used in some cases for avoidance of PCI collisions.</w:t>
            </w:r>
          </w:p>
          <w:p w14:paraId="65A36BAD" w14:textId="77777777" w:rsidR="00B12328" w:rsidRPr="003D3FCC" w:rsidRDefault="00B12328" w:rsidP="00421130">
            <w:pPr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</w:pPr>
            <w:r w:rsidRPr="003D3FCC"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  <w:t xml:space="preserve">From RAN3 perspective, existing mechanism can be used for PCI collision detection in mobile IAB scenario. Further enhancement is FFS. </w:t>
            </w:r>
          </w:p>
          <w:p w14:paraId="4966A9E2" w14:textId="77777777" w:rsidR="00B12328" w:rsidRPr="003D3FCC" w:rsidRDefault="00B12328" w:rsidP="00421130">
            <w:pPr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</w:pPr>
            <w:r w:rsidRPr="003D3FCC"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  <w:t>RAN3 to discuss whether mobile IAB needs any enhancements to the existing mechanisms for PCI collision avoidance and/or optimization.</w:t>
            </w:r>
          </w:p>
          <w:p w14:paraId="117EC5B8" w14:textId="77777777" w:rsidR="00B12328" w:rsidRDefault="00B12328" w:rsidP="00421130">
            <w:pPr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</w:pPr>
            <w:r w:rsidRPr="003D3FCC"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  <w:t>From RAN3 perspective, no enhancements are needed for RACH collision avoidance unless requested by other WGs.</w:t>
            </w:r>
          </w:p>
          <w:p w14:paraId="454E5179" w14:textId="1CB28CA6" w:rsidR="009D5AE6" w:rsidRPr="009D5AE6" w:rsidRDefault="009D5AE6" w:rsidP="009D5AE6">
            <w:pPr>
              <w:ind w:left="144" w:hanging="144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9D5AE6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R</w:t>
            </w:r>
            <w:r w:rsidRPr="009D5AE6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AN3 117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bis</w:t>
            </w:r>
            <w:r w:rsidRPr="009D5AE6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-e</w:t>
            </w:r>
            <w:r w:rsidR="00FC109E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 [2]</w:t>
            </w:r>
            <w:r w:rsidRPr="009D5AE6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:</w:t>
            </w:r>
          </w:p>
          <w:p w14:paraId="689872FC" w14:textId="77777777" w:rsidR="009D5AE6" w:rsidRPr="00D360FB" w:rsidRDefault="009D5AE6" w:rsidP="009D5AE6">
            <w:pPr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 w:rsidRPr="00D360FB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PCI Space Partitioning is performed by OAM and up to implementation.</w:t>
            </w:r>
          </w:p>
          <w:p w14:paraId="3C79B22D" w14:textId="606F9C72" w:rsidR="009D5AE6" w:rsidRPr="00B97033" w:rsidRDefault="009D5AE6" w:rsidP="009D5AE6">
            <w:pPr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 w:rsidRPr="00B97033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PCI collision can be detected by the F1-terminating IAB-donor of the mobile IAB-node.</w:t>
            </w:r>
          </w:p>
          <w:p w14:paraId="7BDE5B6D" w14:textId="5292AFD0" w:rsidR="009D5AE6" w:rsidRPr="00D360FB" w:rsidRDefault="009D5AE6" w:rsidP="009D5AE6">
            <w:pPr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 w:rsidRPr="00D360FB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As baseline, to avoid PCI collision, F1-terminating IAB-donor can reconfigure PCI for the cell of mobile IAB-DU via existing F1AP message.</w:t>
            </w:r>
          </w:p>
          <w:p w14:paraId="02901B5F" w14:textId="5B5B2476" w:rsidR="009D5AE6" w:rsidRPr="009D5AE6" w:rsidRDefault="009D5AE6" w:rsidP="009D5AE6">
            <w:pPr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 w:rsidRPr="00D360FB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PCI-change on the IAB-node can be supported via handover of connected UEs between cells using old and new PCI, respectively.</w:t>
            </w:r>
          </w:p>
        </w:tc>
      </w:tr>
    </w:tbl>
    <w:p w14:paraId="77F07309" w14:textId="7E724212" w:rsidR="002F0CB9" w:rsidRDefault="002F0CB9" w:rsidP="002F0CB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n this contribution, </w:t>
      </w:r>
      <w:r w:rsidR="00710426">
        <w:rPr>
          <w:rFonts w:ascii="Times New Roman" w:eastAsia="宋体" w:hAnsi="Times New Roman" w:cs="Times New Roman"/>
          <w:kern w:val="0"/>
          <w:sz w:val="20"/>
          <w:szCs w:val="20"/>
        </w:rPr>
        <w:t>i</w:t>
      </w:r>
      <w:r w:rsidR="00710426" w:rsidRPr="00710426">
        <w:rPr>
          <w:rFonts w:ascii="Times New Roman" w:eastAsia="宋体" w:hAnsi="Times New Roman" w:cs="Times New Roman"/>
          <w:kern w:val="0"/>
          <w:sz w:val="20"/>
          <w:szCs w:val="20"/>
        </w:rPr>
        <w:t>nterference mitigation of mobile IAB-node mobility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is analyzed</w:t>
      </w:r>
      <w:r w:rsidR="00710426">
        <w:rPr>
          <w:rFonts w:ascii="Times New Roman" w:eastAsia="宋体" w:hAnsi="Times New Roman" w:cs="Times New Roman"/>
          <w:kern w:val="0"/>
          <w:sz w:val="20"/>
          <w:szCs w:val="20"/>
        </w:rPr>
        <w:t xml:space="preserve">, </w:t>
      </w:r>
      <w:r w:rsidR="00FF3A0E">
        <w:rPr>
          <w:rFonts w:ascii="Times New Roman" w:eastAsia="宋体" w:hAnsi="Times New Roman" w:cs="Times New Roman"/>
          <w:kern w:val="0"/>
          <w:sz w:val="20"/>
          <w:szCs w:val="20"/>
        </w:rPr>
        <w:t>especially for</w:t>
      </w:r>
      <w:r w:rsidR="00710426">
        <w:rPr>
          <w:rFonts w:ascii="Times New Roman" w:eastAsia="宋体" w:hAnsi="Times New Roman" w:cs="Times New Roman"/>
          <w:kern w:val="0"/>
          <w:sz w:val="20"/>
          <w:szCs w:val="20"/>
        </w:rPr>
        <w:t xml:space="preserve"> potential PCI during the full migration of mobile IAB-node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47F0D14A" w14:textId="343D8B9C" w:rsidR="00AA3FA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宋体" w:hAnsi="Arial" w:cs="Times New Roman"/>
          <w:kern w:val="0"/>
          <w:sz w:val="36"/>
          <w:szCs w:val="36"/>
          <w:lang w:val="en-GB"/>
        </w:rPr>
        <w:t>Discussion</w:t>
      </w:r>
    </w:p>
    <w:p w14:paraId="69527F80" w14:textId="0317247E" w:rsidR="00D3044B" w:rsidRDefault="00D3044B" w:rsidP="00D3044B">
      <w:pPr>
        <w:widowControl/>
        <w:overflowPunct w:val="0"/>
        <w:autoSpaceDE w:val="0"/>
        <w:autoSpaceDN w:val="0"/>
        <w:adjustRightInd w:val="0"/>
        <w:spacing w:beforeLines="50" w:before="120" w:after="24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bookmarkStart w:id="2" w:name="OLE_LINK15"/>
      <w:r w:rsidRPr="00D3044B">
        <w:rPr>
          <w:rFonts w:ascii="Times New Roman" w:eastAsia="宋体" w:hAnsi="Times New Roman" w:cs="Times New Roman" w:hint="eastAsia"/>
          <w:b/>
          <w:bCs/>
          <w:kern w:val="0"/>
          <w:sz w:val="22"/>
          <w:u w:val="single"/>
        </w:rPr>
        <w:t>P</w:t>
      </w:r>
      <w:r w:rsidRPr="00D3044B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CI collision </w:t>
      </w: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avoidance</w:t>
      </w:r>
      <w:bookmarkEnd w:id="2"/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 via UE handover to a new cell</w:t>
      </w:r>
    </w:p>
    <w:p w14:paraId="0D02092B" w14:textId="2E1CCF3C" w:rsidR="005E550E" w:rsidRPr="00CE0EC4" w:rsidRDefault="00234C1A" w:rsidP="00D3044B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CE0EC4">
        <w:rPr>
          <w:rFonts w:ascii="Times New Roman" w:hAnsi="Times New Roman" w:cs="Times New Roman" w:hint="eastAsia"/>
          <w:kern w:val="0"/>
          <w:sz w:val="20"/>
          <w:szCs w:val="20"/>
        </w:rPr>
        <w:t>A</w:t>
      </w:r>
      <w:r w:rsidRPr="00CE0EC4">
        <w:rPr>
          <w:rFonts w:ascii="Times New Roman" w:hAnsi="Times New Roman" w:cs="Times New Roman"/>
          <w:kern w:val="0"/>
          <w:sz w:val="20"/>
          <w:szCs w:val="20"/>
        </w:rPr>
        <w:t xml:space="preserve">s agreed in </w:t>
      </w:r>
      <w:r w:rsidRPr="00CE0EC4">
        <w:rPr>
          <w:rFonts w:ascii="Times New Roman" w:eastAsia="宋体" w:hAnsi="Times New Roman" w:cs="Times New Roman" w:hint="eastAsia"/>
          <w:kern w:val="0"/>
          <w:sz w:val="20"/>
          <w:szCs w:val="20"/>
        </w:rPr>
        <w:t>R</w:t>
      </w:r>
      <w:r w:rsidRPr="00CE0EC4">
        <w:rPr>
          <w:rFonts w:ascii="Times New Roman" w:eastAsia="宋体" w:hAnsi="Times New Roman" w:cs="Times New Roman"/>
          <w:kern w:val="0"/>
          <w:sz w:val="20"/>
          <w:szCs w:val="20"/>
        </w:rPr>
        <w:t>AN3 117bis-e, PCI collision avoidance can be achieved via handover of all connected UEs from the collided cell to a target cell with new PCI.</w:t>
      </w:r>
      <w:r w:rsidR="00EE16A5" w:rsidRPr="00CE0EC4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 addition, it’s the F1-terminating IAB-donor</w:t>
      </w:r>
      <w:r w:rsidR="005E550E" w:rsidRPr="00CE0EC4">
        <w:rPr>
          <w:rFonts w:ascii="Times New Roman" w:eastAsia="宋体" w:hAnsi="Times New Roman" w:cs="Times New Roman"/>
          <w:kern w:val="0"/>
          <w:sz w:val="20"/>
          <w:szCs w:val="20"/>
        </w:rPr>
        <w:t>-CU</w:t>
      </w:r>
      <w:r w:rsidR="00EE16A5" w:rsidRPr="00CE0EC4">
        <w:rPr>
          <w:rFonts w:ascii="Times New Roman" w:eastAsia="宋体" w:hAnsi="Times New Roman" w:cs="Times New Roman"/>
          <w:kern w:val="0"/>
          <w:sz w:val="20"/>
          <w:szCs w:val="20"/>
        </w:rPr>
        <w:t xml:space="preserve"> of the mobile IAB-node to detect and confirm the potential PCI collision. </w:t>
      </w:r>
      <w:r w:rsidR="005E550E" w:rsidRPr="00CE0EC4">
        <w:rPr>
          <w:rFonts w:ascii="Times New Roman" w:eastAsia="宋体" w:hAnsi="Times New Roman" w:cs="Times New Roman"/>
          <w:kern w:val="0"/>
          <w:sz w:val="20"/>
          <w:szCs w:val="20"/>
        </w:rPr>
        <w:t xml:space="preserve">In this mechanism, the target cell may belong to the same IAB-DU or second logical IAB-DU. </w:t>
      </w:r>
    </w:p>
    <w:p w14:paraId="601A6465" w14:textId="414662D8" w:rsidR="00D3044B" w:rsidRPr="00CE0EC4" w:rsidRDefault="005E550E" w:rsidP="00D3044B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CE0EC4"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 w:rsidRPr="00CE0EC4">
        <w:rPr>
          <w:rFonts w:ascii="Times New Roman" w:eastAsia="宋体" w:hAnsi="Times New Roman" w:cs="Times New Roman"/>
          <w:kern w:val="0"/>
          <w:sz w:val="20"/>
          <w:szCs w:val="20"/>
        </w:rPr>
        <w:t xml:space="preserve">n case </w:t>
      </w:r>
      <w:r w:rsidR="00BB2FE5" w:rsidRPr="00CE0EC4">
        <w:rPr>
          <w:rFonts w:ascii="Times New Roman" w:eastAsia="宋体" w:hAnsi="Times New Roman" w:cs="Times New Roman"/>
          <w:kern w:val="0"/>
          <w:sz w:val="20"/>
          <w:szCs w:val="20"/>
        </w:rPr>
        <w:t xml:space="preserve">of </w:t>
      </w:r>
      <w:r w:rsidRPr="00CE0EC4">
        <w:rPr>
          <w:rFonts w:ascii="Times New Roman" w:eastAsia="宋体" w:hAnsi="Times New Roman" w:cs="Times New Roman"/>
          <w:kern w:val="0"/>
          <w:sz w:val="20"/>
          <w:szCs w:val="20"/>
        </w:rPr>
        <w:t>the target cell belonging to the same IAB-DU, the F1-terminating IAB-donor-CU can activate a cell with new PCI in this IAB-DU</w:t>
      </w:r>
      <w:r w:rsidR="00B75694" w:rsidRPr="00CE0EC4">
        <w:rPr>
          <w:rFonts w:ascii="Times New Roman" w:eastAsia="宋体" w:hAnsi="Times New Roman" w:cs="Times New Roman"/>
          <w:kern w:val="0"/>
          <w:sz w:val="20"/>
          <w:szCs w:val="20"/>
        </w:rPr>
        <w:t xml:space="preserve">, e.g., via F1AP </w:t>
      </w:r>
      <w:proofErr w:type="spellStart"/>
      <w:r w:rsidR="00B75694" w:rsidRPr="00CE0EC4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="00B75694" w:rsidRPr="00CE0EC4">
        <w:rPr>
          <w:rFonts w:ascii="Times New Roman" w:eastAsia="宋体" w:hAnsi="Times New Roman" w:cs="Times New Roman"/>
          <w:kern w:val="0"/>
          <w:sz w:val="20"/>
          <w:szCs w:val="20"/>
        </w:rPr>
        <w:t>-CU Configuration Update</w:t>
      </w:r>
      <w:r w:rsidRPr="00CE0EC4">
        <w:rPr>
          <w:rFonts w:ascii="Times New Roman" w:eastAsia="宋体" w:hAnsi="Times New Roman" w:cs="Times New Roman"/>
          <w:kern w:val="0"/>
          <w:sz w:val="20"/>
          <w:szCs w:val="20"/>
        </w:rPr>
        <w:t xml:space="preserve">, and perform </w:t>
      </w:r>
      <w:proofErr w:type="gramStart"/>
      <w:r w:rsidRPr="00CE0EC4">
        <w:rPr>
          <w:rFonts w:ascii="Times New Roman" w:eastAsia="宋体" w:hAnsi="Times New Roman" w:cs="Times New Roman"/>
          <w:kern w:val="0"/>
          <w:sz w:val="20"/>
          <w:szCs w:val="20"/>
        </w:rPr>
        <w:t>handover</w:t>
      </w:r>
      <w:proofErr w:type="gramEnd"/>
      <w:r w:rsidRPr="00CE0EC4"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all connected UEs via the Intra-</w:t>
      </w:r>
      <w:proofErr w:type="spellStart"/>
      <w:r w:rsidRPr="00CE0EC4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Pr="00CE0EC4">
        <w:rPr>
          <w:rFonts w:ascii="Times New Roman" w:eastAsia="宋体" w:hAnsi="Times New Roman" w:cs="Times New Roman"/>
          <w:kern w:val="0"/>
          <w:sz w:val="20"/>
          <w:szCs w:val="20"/>
        </w:rPr>
        <w:t>-DU handover</w:t>
      </w:r>
      <w:r w:rsidR="00BB4AC3" w:rsidRPr="00CE0EC4">
        <w:rPr>
          <w:rFonts w:ascii="Times New Roman" w:eastAsia="宋体" w:hAnsi="Times New Roman" w:cs="Times New Roman"/>
          <w:kern w:val="0"/>
          <w:sz w:val="20"/>
          <w:szCs w:val="20"/>
        </w:rPr>
        <w:t xml:space="preserve"> procedure</w:t>
      </w:r>
      <w:r w:rsidRPr="00CE0EC4"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</w:p>
    <w:p w14:paraId="46DE9ACD" w14:textId="189F27AE" w:rsidR="00D3044B" w:rsidRPr="00CE0EC4" w:rsidRDefault="00E51A4B" w:rsidP="00D3044B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kern w:val="0"/>
          <w:sz w:val="20"/>
          <w:szCs w:val="20"/>
        </w:rPr>
      </w:pPr>
      <w:r w:rsidRPr="00CE0EC4">
        <w:rPr>
          <w:rFonts w:ascii="Times New Roman" w:hAnsi="Times New Roman" w:cs="Times New Roman"/>
          <w:kern w:val="0"/>
          <w:sz w:val="20"/>
          <w:szCs w:val="20"/>
        </w:rPr>
        <w:t xml:space="preserve">If the target cell belongs to the second logical IAB-DU, </w:t>
      </w:r>
      <w:r w:rsidR="00A701F8" w:rsidRPr="00CE0EC4">
        <w:rPr>
          <w:rFonts w:ascii="Times New Roman" w:hAnsi="Times New Roman" w:cs="Times New Roman"/>
          <w:kern w:val="0"/>
          <w:sz w:val="20"/>
          <w:szCs w:val="20"/>
        </w:rPr>
        <w:t xml:space="preserve">the second logical IAB-DU needs to setup F1 with the </w:t>
      </w:r>
      <w:r w:rsidR="00A701F8" w:rsidRPr="00CE0EC4">
        <w:rPr>
          <w:rFonts w:ascii="Times New Roman" w:eastAsia="宋体" w:hAnsi="Times New Roman" w:cs="Times New Roman"/>
          <w:kern w:val="0"/>
          <w:sz w:val="20"/>
          <w:szCs w:val="20"/>
        </w:rPr>
        <w:t>F1-terminating IAB-donor-CU</w:t>
      </w:r>
      <w:r w:rsidR="00A701F8" w:rsidRPr="00CE0EC4">
        <w:rPr>
          <w:rFonts w:ascii="Times New Roman" w:hAnsi="Times New Roman" w:cs="Times New Roman"/>
          <w:kern w:val="0"/>
          <w:sz w:val="20"/>
          <w:szCs w:val="20"/>
        </w:rPr>
        <w:t xml:space="preserve"> and activates a cell with new PCI, then the </w:t>
      </w:r>
      <w:r w:rsidR="00A701F8" w:rsidRPr="00CE0EC4">
        <w:rPr>
          <w:rFonts w:ascii="Times New Roman" w:eastAsia="宋体" w:hAnsi="Times New Roman" w:cs="Times New Roman"/>
          <w:kern w:val="0"/>
          <w:sz w:val="20"/>
          <w:szCs w:val="20"/>
        </w:rPr>
        <w:t xml:space="preserve">F1-terminating IAB-donor-CU performs </w:t>
      </w:r>
      <w:proofErr w:type="gramStart"/>
      <w:r w:rsidR="00A701F8" w:rsidRPr="00CE0EC4">
        <w:rPr>
          <w:rFonts w:ascii="Times New Roman" w:eastAsia="宋体" w:hAnsi="Times New Roman" w:cs="Times New Roman"/>
          <w:kern w:val="0"/>
          <w:sz w:val="20"/>
          <w:szCs w:val="20"/>
        </w:rPr>
        <w:t>handover</w:t>
      </w:r>
      <w:proofErr w:type="gramEnd"/>
      <w:r w:rsidR="00A701F8" w:rsidRPr="00CE0EC4"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all connected UEs via the Inter-</w:t>
      </w:r>
      <w:proofErr w:type="spellStart"/>
      <w:r w:rsidR="00A701F8" w:rsidRPr="00CE0EC4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="00A701F8" w:rsidRPr="00CE0EC4">
        <w:rPr>
          <w:rFonts w:ascii="Times New Roman" w:eastAsia="宋体" w:hAnsi="Times New Roman" w:cs="Times New Roman"/>
          <w:kern w:val="0"/>
          <w:sz w:val="20"/>
          <w:szCs w:val="20"/>
        </w:rPr>
        <w:t>-DU handover</w:t>
      </w:r>
      <w:r w:rsidR="00BB4AC3" w:rsidRPr="00CE0EC4">
        <w:rPr>
          <w:rFonts w:ascii="Times New Roman" w:eastAsia="宋体" w:hAnsi="Times New Roman" w:cs="Times New Roman"/>
          <w:kern w:val="0"/>
          <w:sz w:val="20"/>
          <w:szCs w:val="20"/>
        </w:rPr>
        <w:t xml:space="preserve"> procedure</w:t>
      </w:r>
      <w:r w:rsidR="00A701F8" w:rsidRPr="00CE0EC4">
        <w:rPr>
          <w:rFonts w:ascii="Times New Roman" w:eastAsia="宋体" w:hAnsi="Times New Roman" w:cs="Times New Roman"/>
          <w:kern w:val="0"/>
          <w:sz w:val="20"/>
          <w:szCs w:val="20"/>
        </w:rPr>
        <w:t xml:space="preserve"> which</w:t>
      </w:r>
      <w:r w:rsidR="004054EB" w:rsidRPr="00CE0EC4">
        <w:rPr>
          <w:rFonts w:ascii="Times New Roman" w:eastAsia="宋体" w:hAnsi="Times New Roman" w:cs="Times New Roman"/>
          <w:kern w:val="0"/>
          <w:sz w:val="20"/>
          <w:szCs w:val="20"/>
        </w:rPr>
        <w:t xml:space="preserve"> may include the context setup for all handover UEs in the second logical IAB-DU.</w:t>
      </w:r>
    </w:p>
    <w:p w14:paraId="56AC8DB1" w14:textId="2D4CA931" w:rsidR="00D3044B" w:rsidRPr="00CE0EC4" w:rsidRDefault="004054EB" w:rsidP="00D3044B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 w:rsidRPr="00CE0EC4">
        <w:rPr>
          <w:rFonts w:ascii="Times New Roman" w:hAnsi="Times New Roman" w:cs="Times New Roman" w:hint="eastAsia"/>
          <w:b/>
          <w:bCs/>
          <w:kern w:val="0"/>
          <w:sz w:val="20"/>
          <w:szCs w:val="20"/>
        </w:rPr>
        <w:t>P</w:t>
      </w:r>
      <w:r w:rsidRPr="00CE0EC4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roposal 1: </w:t>
      </w:r>
      <w:r w:rsidR="00486BA3" w:rsidRPr="00CE0EC4">
        <w:rPr>
          <w:rFonts w:ascii="Times New Roman" w:hAnsi="Times New Roman" w:cs="Times New Roman"/>
          <w:b/>
          <w:bCs/>
          <w:kern w:val="0"/>
          <w:sz w:val="20"/>
          <w:szCs w:val="20"/>
        </w:rPr>
        <w:t>To avoid PCI collision of mobile</w:t>
      </w:r>
      <w:r w:rsidR="00A7002F" w:rsidRPr="00CE0EC4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IAB-node</w:t>
      </w:r>
      <w:r w:rsidR="00486BA3" w:rsidRPr="00CE0EC4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, </w:t>
      </w:r>
      <w:r w:rsidR="00486BA3" w:rsidRPr="00CE0EC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the F1-terminating IAB-donor-CU of the mobile IAB-node can activate a target cell with new PCI in the same IAB-DU, and perform </w:t>
      </w:r>
      <w:proofErr w:type="gramStart"/>
      <w:r w:rsidR="00486BA3" w:rsidRPr="00CE0EC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handover</w:t>
      </w:r>
      <w:proofErr w:type="gramEnd"/>
      <w:r w:rsidR="00486BA3" w:rsidRPr="00CE0EC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for all connected UEs to the target cell via the Intra-</w:t>
      </w:r>
      <w:proofErr w:type="spellStart"/>
      <w:r w:rsidR="00486BA3" w:rsidRPr="00CE0EC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="00486BA3" w:rsidRPr="00CE0EC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-DU handover</w:t>
      </w:r>
      <w:r w:rsidR="00BB4AC3" w:rsidRPr="00CE0EC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procedure</w:t>
      </w:r>
      <w:r w:rsidR="00486BA3" w:rsidRPr="00CE0EC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  <w:r w:rsidR="00422A79" w:rsidRPr="00CE0EC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</w:p>
    <w:p w14:paraId="2FC8DC2A" w14:textId="77777777" w:rsidR="00C35DBA" w:rsidRPr="00F07278" w:rsidRDefault="00C35DBA" w:rsidP="00C35DBA">
      <w:pPr>
        <w:widowControl/>
        <w:overflowPunct w:val="0"/>
        <w:autoSpaceDE w:val="0"/>
        <w:autoSpaceDN w:val="0"/>
        <w:adjustRightInd w:val="0"/>
        <w:spacing w:beforeLines="50" w:before="120" w:after="24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 w:rsidRPr="00F07278">
        <w:rPr>
          <w:rFonts w:ascii="Times New Roman" w:eastAsia="宋体" w:hAnsi="Times New Roman" w:cs="Times New Roman" w:hint="eastAsia"/>
          <w:b/>
          <w:bCs/>
          <w:kern w:val="0"/>
          <w:sz w:val="22"/>
          <w:u w:val="single"/>
        </w:rPr>
        <w:t>P</w:t>
      </w:r>
      <w:r w:rsidRPr="00F07278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CI </w:t>
      </w: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collision detection for partial migration</w:t>
      </w:r>
    </w:p>
    <w:p w14:paraId="47B30D20" w14:textId="77777777" w:rsidR="00C35DBA" w:rsidRDefault="00C35DBA" w:rsidP="00C35DBA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kern w:val="0"/>
          <w:sz w:val="20"/>
          <w:szCs w:val="20"/>
        </w:rPr>
        <w:t>B</w:t>
      </w:r>
      <w:r>
        <w:rPr>
          <w:rFonts w:ascii="Times New Roman" w:hAnsi="Times New Roman" w:cs="Times New Roman"/>
          <w:kern w:val="0"/>
          <w:sz w:val="20"/>
          <w:szCs w:val="20"/>
        </w:rPr>
        <w:t>ased on the agreement, it’s the F1-terminating IAB-donor-CU to perform PCI collision detection. But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in case of partial migration, mobile IAB-MT and mobile IAB-DU terminates at different IAB-donor-CUs, which means the F1-terminating IAB-donor-CU cannot receive the measurement report from the IAB-MT. However, the F1-terminating IAB-donor-CU </w:t>
      </w:r>
      <w:r>
        <w:rPr>
          <w:rFonts w:ascii="Times New Roman" w:hAnsi="Times New Roman" w:cs="Times New Roman"/>
          <w:kern w:val="0"/>
          <w:sz w:val="20"/>
          <w:szCs w:val="20"/>
        </w:rPr>
        <w:lastRenderedPageBreak/>
        <w:t xml:space="preserve">can still detect the potential PCI collision based on the serving cell information and </w:t>
      </w:r>
      <w:proofErr w:type="spellStart"/>
      <w:r>
        <w:rPr>
          <w:rFonts w:ascii="Times New Roman" w:hAnsi="Times New Roman" w:cs="Times New Roman"/>
          <w:kern w:val="0"/>
          <w:sz w:val="20"/>
          <w:szCs w:val="20"/>
        </w:rPr>
        <w:t>neighbour</w:t>
      </w:r>
      <w:proofErr w:type="spellEnd"/>
      <w:r>
        <w:rPr>
          <w:rFonts w:ascii="Times New Roman" w:hAnsi="Times New Roman" w:cs="Times New Roman"/>
          <w:kern w:val="0"/>
          <w:sz w:val="20"/>
          <w:szCs w:val="20"/>
        </w:rPr>
        <w:t xml:space="preserve"> cell information in the </w:t>
      </w:r>
      <w:proofErr w:type="spellStart"/>
      <w:r>
        <w:rPr>
          <w:rFonts w:ascii="Times New Roman" w:hAnsi="Times New Roman" w:cs="Times New Roman"/>
          <w:kern w:val="0"/>
          <w:sz w:val="20"/>
          <w:szCs w:val="20"/>
        </w:rPr>
        <w:t>Xn</w:t>
      </w:r>
      <w:proofErr w:type="spellEnd"/>
      <w:r>
        <w:rPr>
          <w:rFonts w:ascii="Times New Roman" w:hAnsi="Times New Roman" w:cs="Times New Roman"/>
          <w:kern w:val="0"/>
          <w:sz w:val="20"/>
          <w:szCs w:val="20"/>
        </w:rPr>
        <w:t xml:space="preserve"> message if there is </w:t>
      </w:r>
      <w:proofErr w:type="spellStart"/>
      <w:r>
        <w:rPr>
          <w:rFonts w:ascii="Times New Roman" w:hAnsi="Times New Roman" w:cs="Times New Roman"/>
          <w:kern w:val="0"/>
          <w:sz w:val="20"/>
          <w:szCs w:val="20"/>
        </w:rPr>
        <w:t>Xn</w:t>
      </w:r>
      <w:proofErr w:type="spellEnd"/>
      <w:r>
        <w:rPr>
          <w:rFonts w:ascii="Times New Roman" w:hAnsi="Times New Roman" w:cs="Times New Roman"/>
          <w:kern w:val="0"/>
          <w:sz w:val="20"/>
          <w:szCs w:val="20"/>
        </w:rPr>
        <w:t xml:space="preserve"> connection between the F1-terminating IAB-donor-CU and the RRC-terminating IAB-donor-CU.</w:t>
      </w:r>
    </w:p>
    <w:p w14:paraId="3B0B649C" w14:textId="77777777" w:rsidR="00C35DBA" w:rsidRPr="00A70D29" w:rsidRDefault="00C35DBA" w:rsidP="00C35DBA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Observation 1: In case of partial migration, F1-terminating IAB-donor-CU can detect the potential PCI collision based on the serving cell information and </w:t>
      </w:r>
      <w:proofErr w:type="spellStart"/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>neighbour</w:t>
      </w:r>
      <w:proofErr w:type="spellEnd"/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cell information in the </w:t>
      </w:r>
      <w:proofErr w:type="spellStart"/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message if there is </w:t>
      </w:r>
      <w:proofErr w:type="spellStart"/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connection between the F1-terminating IAB-donor-CU and the RRC-terminating IAB-donor-CU.</w:t>
      </w:r>
    </w:p>
    <w:p w14:paraId="3F1F824C" w14:textId="0B1042F6" w:rsidR="00C35DBA" w:rsidRPr="00CE0EC4" w:rsidRDefault="00C35DBA" w:rsidP="00C35DBA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kern w:val="0"/>
          <w:sz w:val="20"/>
          <w:szCs w:val="20"/>
        </w:rPr>
      </w:pPr>
      <w:r w:rsidRPr="00CE0EC4">
        <w:rPr>
          <w:rFonts w:ascii="Times New Roman" w:hAnsi="Times New Roman" w:cs="Times New Roman"/>
          <w:kern w:val="0"/>
          <w:sz w:val="20"/>
          <w:szCs w:val="20"/>
        </w:rPr>
        <w:t xml:space="preserve">Once there is no </w:t>
      </w:r>
      <w:proofErr w:type="spellStart"/>
      <w:r w:rsidRPr="00CE0EC4">
        <w:rPr>
          <w:rFonts w:ascii="Times New Roman" w:hAnsi="Times New Roman" w:cs="Times New Roman"/>
          <w:kern w:val="0"/>
          <w:sz w:val="20"/>
          <w:szCs w:val="20"/>
        </w:rPr>
        <w:t>Xn</w:t>
      </w:r>
      <w:proofErr w:type="spellEnd"/>
      <w:r w:rsidRPr="00CE0EC4">
        <w:rPr>
          <w:rFonts w:ascii="Times New Roman" w:hAnsi="Times New Roman" w:cs="Times New Roman"/>
          <w:kern w:val="0"/>
          <w:sz w:val="20"/>
          <w:szCs w:val="20"/>
        </w:rPr>
        <w:t xml:space="preserve"> connection between the F1-terminating IAB-donor-CU and the RRC-terminating IAB-donor-CU, the F1-terminating IAB-donor-CU can still detect the potential PCI collision based on measurement report from </w:t>
      </w:r>
      <w:r w:rsidR="00FA6B14">
        <w:rPr>
          <w:rFonts w:ascii="Times New Roman" w:hAnsi="Times New Roman" w:cs="Times New Roman"/>
          <w:kern w:val="0"/>
          <w:sz w:val="20"/>
          <w:szCs w:val="20"/>
        </w:rPr>
        <w:t xml:space="preserve">served </w:t>
      </w:r>
      <w:r w:rsidRPr="00CE0EC4">
        <w:rPr>
          <w:rFonts w:ascii="Times New Roman" w:hAnsi="Times New Roman" w:cs="Times New Roman"/>
          <w:kern w:val="0"/>
          <w:sz w:val="20"/>
          <w:szCs w:val="20"/>
        </w:rPr>
        <w:t xml:space="preserve">UEs. </w:t>
      </w:r>
    </w:p>
    <w:p w14:paraId="36D67E58" w14:textId="79FBDE0D" w:rsidR="00C35DBA" w:rsidRPr="00CE0EC4" w:rsidRDefault="00FA6B14" w:rsidP="00C35DBA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>Observation 2</w:t>
      </w:r>
      <w:r w:rsidR="00C35DBA" w:rsidRPr="00CE0EC4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: In case of partial migration without </w:t>
      </w:r>
      <w:proofErr w:type="spellStart"/>
      <w:r w:rsidR="00C35DBA" w:rsidRPr="00CE0EC4">
        <w:rPr>
          <w:rFonts w:ascii="Times New Roman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="00C35DBA" w:rsidRPr="00CE0EC4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connection, </w:t>
      </w:r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>F1-terminating IAB-donor-CU can detect the potential PCI collision based on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</w:t>
      </w:r>
      <w:r w:rsidRPr="00FA6B14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measurement report from 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served </w:t>
      </w:r>
      <w:r w:rsidRPr="00FA6B14">
        <w:rPr>
          <w:rFonts w:ascii="Times New Roman" w:hAnsi="Times New Roman" w:cs="Times New Roman"/>
          <w:b/>
          <w:bCs/>
          <w:kern w:val="0"/>
          <w:sz w:val="20"/>
          <w:szCs w:val="20"/>
        </w:rPr>
        <w:t>UE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>s</w:t>
      </w:r>
      <w:r w:rsidR="00C35DBA" w:rsidRPr="00CE0EC4">
        <w:rPr>
          <w:rFonts w:ascii="Times New Roman" w:hAnsi="Times New Roman" w:cs="Times New Roman"/>
          <w:b/>
          <w:bCs/>
          <w:kern w:val="0"/>
          <w:sz w:val="20"/>
          <w:szCs w:val="20"/>
        </w:rPr>
        <w:t>.</w:t>
      </w:r>
    </w:p>
    <w:p w14:paraId="3821C0A1" w14:textId="2FB84BAE" w:rsidR="00F07278" w:rsidRPr="00F07278" w:rsidRDefault="00F07278" w:rsidP="00C35DBA">
      <w:pPr>
        <w:widowControl/>
        <w:overflowPunct w:val="0"/>
        <w:autoSpaceDE w:val="0"/>
        <w:autoSpaceDN w:val="0"/>
        <w:adjustRightInd w:val="0"/>
        <w:spacing w:beforeLines="50" w:before="120" w:after="24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 w:rsidRPr="00F07278">
        <w:rPr>
          <w:rFonts w:ascii="Times New Roman" w:eastAsia="宋体" w:hAnsi="Times New Roman" w:cs="Times New Roman" w:hint="eastAsia"/>
          <w:b/>
          <w:bCs/>
          <w:kern w:val="0"/>
          <w:sz w:val="22"/>
          <w:u w:val="single"/>
        </w:rPr>
        <w:t>P</w:t>
      </w:r>
      <w:r w:rsidRPr="00F07278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CI Optimization Function</w:t>
      </w: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 enhancements</w:t>
      </w:r>
    </w:p>
    <w:tbl>
      <w:tblPr>
        <w:tblW w:w="9633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3"/>
      </w:tblGrid>
      <w:tr w:rsidR="00583B3A" w14:paraId="641FEED9" w14:textId="77777777" w:rsidTr="001B62E7">
        <w:trPr>
          <w:trHeight w:val="588"/>
        </w:trPr>
        <w:tc>
          <w:tcPr>
            <w:tcW w:w="9633" w:type="dxa"/>
          </w:tcPr>
          <w:p w14:paraId="33E62C70" w14:textId="2043A3D9" w:rsidR="00765057" w:rsidRPr="009D5AE6" w:rsidRDefault="00765057" w:rsidP="00765057">
            <w:pPr>
              <w:ind w:left="144" w:hanging="144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9D5AE6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R</w:t>
            </w:r>
            <w:r w:rsidRPr="009D5AE6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AN3 117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bis</w:t>
            </w:r>
            <w:r w:rsidRPr="009D5AE6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-e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 [2]</w:t>
            </w:r>
            <w:r w:rsidRPr="009D5AE6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: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 </w:t>
            </w:r>
          </w:p>
          <w:p w14:paraId="7C911001" w14:textId="7D50293C" w:rsidR="00583B3A" w:rsidRPr="00583B3A" w:rsidRDefault="00583B3A" w:rsidP="00583B3A">
            <w:pPr>
              <w:spacing w:beforeLines="50" w:before="120"/>
              <w:rPr>
                <w:rFonts w:ascii="Calibri" w:hAnsi="Calibri" w:cs="Calibri"/>
                <w:b/>
                <w:color w:val="0000FF"/>
                <w:sz w:val="18"/>
                <w:szCs w:val="18"/>
              </w:rPr>
            </w:pPr>
            <w:r w:rsidRPr="00D360FB">
              <w:rPr>
                <w:rFonts w:ascii="Calibri" w:hAnsi="Calibri" w:cs="Calibri"/>
                <w:b/>
                <w:color w:val="0000FF"/>
                <w:sz w:val="18"/>
                <w:szCs w:val="18"/>
              </w:rPr>
              <w:t>FFS for the PCI reconfiguration in case of IAB-donor and IAB-node with different OAMs.</w:t>
            </w:r>
          </w:p>
        </w:tc>
      </w:tr>
    </w:tbl>
    <w:p w14:paraId="132CBB26" w14:textId="45E0217C" w:rsidR="00930369" w:rsidRDefault="00555709" w:rsidP="00F07278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Since PCIs of mobile IAB-DU is assigned by </w:t>
      </w:r>
      <w:r w:rsidR="009235C8">
        <w:rPr>
          <w:rFonts w:ascii="Times New Roman" w:eastAsia="宋体" w:hAnsi="Times New Roman" w:cs="Times New Roman"/>
          <w:kern w:val="0"/>
          <w:sz w:val="20"/>
          <w:szCs w:val="20"/>
        </w:rPr>
        <w:t xml:space="preserve">its serving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OAM and PCI collision is detected by IAB-donor-CU of the mobile IAB-node, </w:t>
      </w:r>
      <w:r w:rsidR="004C5905">
        <w:rPr>
          <w:rFonts w:ascii="Times New Roman" w:eastAsia="宋体" w:hAnsi="Times New Roman" w:cs="Times New Roman"/>
          <w:kern w:val="0"/>
          <w:sz w:val="20"/>
          <w:szCs w:val="20"/>
        </w:rPr>
        <w:t>following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legacy PCI </w:t>
      </w:r>
      <w:r w:rsidR="00782B38" w:rsidRPr="00555709">
        <w:rPr>
          <w:rFonts w:ascii="Times New Roman" w:eastAsia="宋体" w:hAnsi="Times New Roman" w:cs="Times New Roman"/>
          <w:kern w:val="0"/>
          <w:sz w:val="20"/>
          <w:szCs w:val="20"/>
        </w:rPr>
        <w:t>Optimization</w:t>
      </w:r>
      <w:r w:rsidRPr="00555709">
        <w:rPr>
          <w:rFonts w:ascii="Times New Roman" w:eastAsia="宋体" w:hAnsi="Times New Roman" w:cs="Times New Roman"/>
          <w:kern w:val="0"/>
          <w:sz w:val="20"/>
          <w:szCs w:val="20"/>
        </w:rPr>
        <w:t xml:space="preserve"> Function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7A2063">
        <w:rPr>
          <w:rFonts w:ascii="Times New Roman" w:eastAsia="宋体" w:hAnsi="Times New Roman" w:cs="Times New Roman"/>
          <w:kern w:val="0"/>
          <w:sz w:val="20"/>
          <w:szCs w:val="20"/>
        </w:rPr>
        <w:t xml:space="preserve">[3] </w:t>
      </w:r>
      <w:r w:rsidR="004C5905">
        <w:rPr>
          <w:rFonts w:ascii="Times New Roman" w:eastAsia="宋体" w:hAnsi="Times New Roman" w:cs="Times New Roman"/>
          <w:kern w:val="0"/>
          <w:sz w:val="20"/>
          <w:szCs w:val="20"/>
        </w:rPr>
        <w:t xml:space="preserve">cannot be workable if </w:t>
      </w:r>
      <w:r w:rsidR="00FD7385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</w:t>
      </w:r>
      <w:r w:rsidR="004C5905">
        <w:rPr>
          <w:rFonts w:ascii="Times New Roman" w:eastAsia="宋体" w:hAnsi="Times New Roman" w:cs="Times New Roman"/>
          <w:kern w:val="0"/>
          <w:sz w:val="20"/>
          <w:szCs w:val="20"/>
        </w:rPr>
        <w:t xml:space="preserve">mobile IAB-node and </w:t>
      </w:r>
      <w:r w:rsidR="00FD7385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</w:t>
      </w:r>
      <w:r w:rsidR="004C5905">
        <w:rPr>
          <w:rFonts w:ascii="Times New Roman" w:eastAsia="宋体" w:hAnsi="Times New Roman" w:cs="Times New Roman"/>
          <w:kern w:val="0"/>
          <w:sz w:val="20"/>
          <w:szCs w:val="20"/>
        </w:rPr>
        <w:t>IAB-donor-CU are served by different OAMs</w:t>
      </w:r>
      <w:r w:rsidR="009235C8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tbl>
      <w:tblPr>
        <w:tblW w:w="9653" w:type="dxa"/>
        <w:tblInd w:w="-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53"/>
      </w:tblGrid>
      <w:tr w:rsidR="009235C8" w14:paraId="64E8DCEC" w14:textId="77777777" w:rsidTr="001D1646">
        <w:trPr>
          <w:trHeight w:val="3392"/>
        </w:trPr>
        <w:tc>
          <w:tcPr>
            <w:tcW w:w="9653" w:type="dxa"/>
          </w:tcPr>
          <w:p w14:paraId="5A850D69" w14:textId="3D336721" w:rsidR="009235C8" w:rsidRPr="00B76E38" w:rsidRDefault="009235C8" w:rsidP="000E47A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180" w:after="180"/>
              <w:ind w:left="1134" w:hanging="1134"/>
              <w:jc w:val="left"/>
              <w:outlineLvl w:val="1"/>
              <w:rPr>
                <w:rFonts w:ascii="Arial" w:eastAsia="Times New Roman" w:hAnsi="Arial" w:cs="Times New Roman"/>
                <w:kern w:val="0"/>
                <w:sz w:val="32"/>
                <w:szCs w:val="20"/>
                <w:lang w:val="en-GB" w:eastAsia="ko-KR"/>
              </w:rPr>
            </w:pPr>
            <w:bookmarkStart w:id="3" w:name="_Toc98351704"/>
            <w:bookmarkStart w:id="4" w:name="_Toc98748002"/>
            <w:bookmarkStart w:id="5" w:name="_Toc105704388"/>
            <w:bookmarkStart w:id="6" w:name="_Toc106108506"/>
            <w:bookmarkStart w:id="7" w:name="_Toc107829478"/>
            <w:r w:rsidRPr="00B76E38">
              <w:rPr>
                <w:rFonts w:ascii="Arial" w:eastAsia="Times New Roman" w:hAnsi="Arial" w:cs="Times New Roman"/>
                <w:kern w:val="0"/>
                <w:sz w:val="32"/>
                <w:szCs w:val="20"/>
                <w:lang w:val="en-GB" w:eastAsia="en-GB"/>
              </w:rPr>
              <w:t>7.8</w:t>
            </w:r>
            <w:r w:rsidRPr="00B76E38">
              <w:rPr>
                <w:rFonts w:ascii="Arial" w:eastAsia="Times New Roman" w:hAnsi="Arial" w:cs="Times New Roman"/>
                <w:kern w:val="0"/>
                <w:sz w:val="32"/>
                <w:szCs w:val="20"/>
                <w:lang w:val="en-GB" w:eastAsia="en-GB"/>
              </w:rPr>
              <w:tab/>
              <w:t>PCI Optimisation Function</w:t>
            </w:r>
            <w:bookmarkEnd w:id="3"/>
            <w:bookmarkEnd w:id="4"/>
            <w:bookmarkEnd w:id="5"/>
            <w:bookmarkEnd w:id="6"/>
            <w:bookmarkEnd w:id="7"/>
          </w:p>
          <w:p w14:paraId="3D604A6A" w14:textId="77777777" w:rsidR="009235C8" w:rsidRPr="00B76E38" w:rsidRDefault="009235C8" w:rsidP="000E47A7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 xml:space="preserve">The PCI Optimization Function in non-split </w:t>
            </w:r>
            <w:proofErr w:type="spellStart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gNB</w:t>
            </w:r>
            <w:proofErr w:type="spellEnd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 xml:space="preserve"> case is specified in TS 38.300 [2].</w:t>
            </w:r>
          </w:p>
          <w:p w14:paraId="3213931C" w14:textId="77777777" w:rsidR="009235C8" w:rsidRPr="00B76E38" w:rsidRDefault="009235C8" w:rsidP="000E47A7">
            <w:pPr>
              <w:widowControl/>
              <w:tabs>
                <w:tab w:val="left" w:pos="7400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 xml:space="preserve">In split </w:t>
            </w:r>
            <w:proofErr w:type="spellStart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gNB</w:t>
            </w:r>
            <w:proofErr w:type="spellEnd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 xml:space="preserve"> architecture, the OAM configures a PCI for each NR cell to the </w:t>
            </w:r>
            <w:proofErr w:type="spellStart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gNB</w:t>
            </w:r>
            <w:proofErr w:type="spellEnd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-DU.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ab/>
            </w:r>
          </w:p>
          <w:p w14:paraId="33FF6167" w14:textId="77777777" w:rsidR="009235C8" w:rsidRPr="00B76E38" w:rsidRDefault="009235C8" w:rsidP="000E47A7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 xml:space="preserve">For centralized PCI assignment in split </w:t>
            </w:r>
            <w:proofErr w:type="spellStart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gNB</w:t>
            </w:r>
            <w:proofErr w:type="spellEnd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 xml:space="preserve"> architecture, the </w:t>
            </w:r>
            <w:proofErr w:type="spellStart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gNB</w:t>
            </w:r>
            <w:proofErr w:type="spellEnd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 xml:space="preserve">-CU detects PCI conflict of NR cells and reports the NR cells suffering PCI conflict to OAM directly. The OAM </w:t>
            </w:r>
            <w:proofErr w:type="gramStart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is in charge of</w:t>
            </w:r>
            <w:proofErr w:type="gramEnd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 xml:space="preserve"> reassigning a new PCI for the NR cell subject to PCI conflict.</w:t>
            </w:r>
          </w:p>
          <w:p w14:paraId="67488A27" w14:textId="77777777" w:rsidR="009235C8" w:rsidRPr="008E4D2F" w:rsidRDefault="009235C8" w:rsidP="000E47A7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Yu Mincho" w:hAnsi="Times New Roman" w:cs="Times New Roman"/>
                <w:kern w:val="0"/>
                <w:sz w:val="20"/>
                <w:szCs w:val="20"/>
                <w:lang w:val="en-GB"/>
              </w:rPr>
            </w:pPr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 xml:space="preserve">For distributed PCI assignment in split </w:t>
            </w:r>
            <w:proofErr w:type="spellStart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gNB</w:t>
            </w:r>
            <w:proofErr w:type="spellEnd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 xml:space="preserve"> architecture, the OAM assigns a list of PCIs for each NR cell and sends the configured PCI list to the </w:t>
            </w:r>
            <w:proofErr w:type="spellStart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gNB</w:t>
            </w:r>
            <w:proofErr w:type="spellEnd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 xml:space="preserve">-CU. If the </w:t>
            </w:r>
            <w:proofErr w:type="spellStart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gNB</w:t>
            </w:r>
            <w:proofErr w:type="spellEnd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 xml:space="preserve">-CU detects PCI conflict, the </w:t>
            </w:r>
            <w:proofErr w:type="spellStart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gNB</w:t>
            </w:r>
            <w:proofErr w:type="spellEnd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 xml:space="preserve">-CU may select a new PCI value from the preconfigured PCI list for the NR cell and send it to the </w:t>
            </w:r>
            <w:proofErr w:type="spellStart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gNB</w:t>
            </w:r>
            <w:proofErr w:type="spellEnd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 xml:space="preserve">-DU by either F1 Setup procedure or </w:t>
            </w:r>
            <w:proofErr w:type="spellStart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gNB</w:t>
            </w:r>
            <w:proofErr w:type="spellEnd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-CU configuration update procedure.</w:t>
            </w:r>
          </w:p>
        </w:tc>
      </w:tr>
    </w:tbl>
    <w:p w14:paraId="4875D759" w14:textId="3BE28430" w:rsidR="00930369" w:rsidRPr="00CE0EC4" w:rsidRDefault="007E0C15" w:rsidP="007E0C15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CE0EC4">
        <w:rPr>
          <w:rFonts w:ascii="Times New Roman" w:eastAsia="宋体" w:hAnsi="Times New Roman" w:cs="Times New Roman"/>
          <w:kern w:val="0"/>
          <w:sz w:val="20"/>
          <w:szCs w:val="20"/>
        </w:rPr>
        <w:t xml:space="preserve">If mobile IAB-node and IAB-donor-CU are served by different OAMs, for </w:t>
      </w:r>
      <w:r w:rsidRPr="00CE0EC4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centralized PCI assignment in split </w:t>
      </w:r>
      <w:proofErr w:type="spellStart"/>
      <w:r w:rsidRPr="00CE0EC4">
        <w:rPr>
          <w:rFonts w:ascii="Times New Roman" w:eastAsia="Times New Roman" w:hAnsi="Times New Roman" w:cs="Times New Roman"/>
          <w:kern w:val="0"/>
          <w:sz w:val="20"/>
          <w:szCs w:val="20"/>
        </w:rPr>
        <w:t>gNB</w:t>
      </w:r>
      <w:proofErr w:type="spellEnd"/>
      <w:r w:rsidRPr="00CE0EC4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architecture, it’s still the IAB-donor-CU to detect the PCI collision and the IAB-donor-CU may need to inform the </w:t>
      </w:r>
      <w:r w:rsidR="00F9271D" w:rsidRPr="00CE0EC4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PCI </w:t>
      </w:r>
      <w:r w:rsidRPr="00CE0EC4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collision to the mobile IAB-node so that the mobile IAB-node can request a new PCI from its serving OAM. </w:t>
      </w:r>
      <w:r w:rsidR="00F9271D" w:rsidRPr="00CE0EC4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And based on the agreement in last meeting, </w:t>
      </w:r>
      <w:r w:rsidR="00C36C8A" w:rsidRPr="00CE0EC4">
        <w:rPr>
          <w:rFonts w:ascii="Times New Roman" w:eastAsia="Times New Roman" w:hAnsi="Times New Roman" w:cs="Times New Roman"/>
          <w:kern w:val="0"/>
          <w:sz w:val="20"/>
          <w:szCs w:val="20"/>
        </w:rPr>
        <w:t>it’s the F1-terminating IAB-donor-CU to reconfigure PCI for the cell of mobile IAB-DU via existing F1AP message to avoid collision, therefore, the mobile IAB-node needs to report the new PCI obtained from its serving OAM to the F1-terminating IAB-donor-CU.</w:t>
      </w:r>
    </w:p>
    <w:p w14:paraId="2832E894" w14:textId="3C324EED" w:rsidR="00C36C8A" w:rsidRPr="00CE0EC4" w:rsidRDefault="00C36C8A" w:rsidP="007E0C15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 w:rsidRPr="00CE0EC4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Proposal </w:t>
      </w:r>
      <w:r w:rsidR="00CF4E56">
        <w:rPr>
          <w:rFonts w:ascii="Times New Roman" w:hAnsi="Times New Roman" w:cs="Times New Roman"/>
          <w:b/>
          <w:bCs/>
          <w:kern w:val="0"/>
          <w:sz w:val="20"/>
          <w:szCs w:val="20"/>
        </w:rPr>
        <w:t>2</w:t>
      </w:r>
      <w:r w:rsidRPr="00CE0EC4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: </w:t>
      </w:r>
      <w:r w:rsidR="00782B38" w:rsidRPr="00CE0EC4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For centralized PCI assignment in split </w:t>
      </w:r>
      <w:proofErr w:type="spellStart"/>
      <w:r w:rsidR="00782B38" w:rsidRPr="00CE0EC4">
        <w:rPr>
          <w:rFonts w:ascii="Times New Roman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="00782B38" w:rsidRPr="00CE0EC4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architecture, IAB-donor-CU and mobile IAB-node have following enhancements to legacy PCI Optimization Function</w:t>
      </w:r>
      <w:r w:rsidR="00CD5BAF" w:rsidRPr="00CE0EC4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if mobile IAB-node and IAB-donor-CU are served by different OAMs</w:t>
      </w:r>
      <w:r w:rsidR="00782B38" w:rsidRPr="00CE0EC4">
        <w:rPr>
          <w:rFonts w:ascii="Times New Roman" w:hAnsi="Times New Roman" w:cs="Times New Roman"/>
          <w:b/>
          <w:bCs/>
          <w:kern w:val="0"/>
          <w:sz w:val="20"/>
          <w:szCs w:val="20"/>
        </w:rPr>
        <w:t>.</w:t>
      </w:r>
    </w:p>
    <w:p w14:paraId="07155592" w14:textId="1324CF06" w:rsidR="00782B38" w:rsidRPr="00CE0EC4" w:rsidRDefault="00782B38" w:rsidP="00484705">
      <w:pPr>
        <w:pStyle w:val="ac"/>
        <w:widowControl/>
        <w:numPr>
          <w:ilvl w:val="0"/>
          <w:numId w:val="11"/>
        </w:numPr>
        <w:overflowPunct w:val="0"/>
        <w:autoSpaceDE w:val="0"/>
        <w:autoSpaceDN w:val="0"/>
        <w:adjustRightInd w:val="0"/>
        <w:spacing w:beforeLines="50" w:before="120" w:after="120"/>
        <w:ind w:firstLineChars="0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</w:rPr>
      </w:pPr>
      <w:r w:rsidRPr="00CE0EC4">
        <w:rPr>
          <w:rFonts w:ascii="Times New Roman" w:eastAsia="Times New Roman" w:hAnsi="Times New Roman" w:cs="Times New Roman"/>
          <w:b/>
          <w:bCs/>
          <w:kern w:val="0"/>
          <w:sz w:val="20"/>
          <w:szCs w:val="20"/>
        </w:rPr>
        <w:t>IAB-donor-CU informs the PCI collision to mobile IAB-node</w:t>
      </w:r>
    </w:p>
    <w:p w14:paraId="0626DB88" w14:textId="1E48439F" w:rsidR="00782B38" w:rsidRPr="00CE0EC4" w:rsidRDefault="00782B38" w:rsidP="00484705">
      <w:pPr>
        <w:pStyle w:val="ac"/>
        <w:widowControl/>
        <w:numPr>
          <w:ilvl w:val="0"/>
          <w:numId w:val="11"/>
        </w:numPr>
        <w:overflowPunct w:val="0"/>
        <w:autoSpaceDE w:val="0"/>
        <w:autoSpaceDN w:val="0"/>
        <w:adjustRightInd w:val="0"/>
        <w:spacing w:beforeLines="50" w:before="120" w:after="120"/>
        <w:ind w:firstLineChars="0"/>
        <w:textAlignment w:val="baseline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 w:rsidRPr="00CE0EC4">
        <w:rPr>
          <w:rFonts w:ascii="Times New Roman" w:eastAsia="Times New Roman" w:hAnsi="Times New Roman" w:cs="Times New Roman"/>
          <w:b/>
          <w:bCs/>
          <w:kern w:val="0"/>
          <w:sz w:val="20"/>
          <w:szCs w:val="20"/>
        </w:rPr>
        <w:t>Mobile IAB-node reports the new PCI to IAB-donor-CU</w:t>
      </w:r>
    </w:p>
    <w:p w14:paraId="11F1073D" w14:textId="378A4A6D" w:rsidR="007E0C15" w:rsidRPr="00CE0EC4" w:rsidRDefault="003D4393" w:rsidP="0019499C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CE0EC4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For distributed PCI assignment in split </w:t>
      </w:r>
      <w:proofErr w:type="spellStart"/>
      <w:r w:rsidRPr="00CE0EC4">
        <w:rPr>
          <w:rFonts w:ascii="Times New Roman" w:eastAsia="Times New Roman" w:hAnsi="Times New Roman" w:cs="Times New Roman"/>
          <w:kern w:val="0"/>
          <w:sz w:val="20"/>
          <w:szCs w:val="20"/>
        </w:rPr>
        <w:t>gNB</w:t>
      </w:r>
      <w:proofErr w:type="spellEnd"/>
      <w:r w:rsidRPr="00CE0EC4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architecture, the OAM of mobile IAB-node may assign a list of PCIs for each NR cell and sends the configured PCI list to the mobile IAB-node, and the mobile IAB-node needs to report the PCI list to its IAB-donor-CU. Once the PCI collision has detected by the IAB-donor-CU, the IAB-donor-CU may select a new PCI value from the PCI list for the NR cell and send it to the mobile IAB-DU by either F1 Setup procedure or </w:t>
      </w:r>
      <w:proofErr w:type="spellStart"/>
      <w:r w:rsidRPr="00CE0EC4">
        <w:rPr>
          <w:rFonts w:ascii="Times New Roman" w:eastAsia="Times New Roman" w:hAnsi="Times New Roman" w:cs="Times New Roman"/>
          <w:kern w:val="0"/>
          <w:sz w:val="20"/>
          <w:szCs w:val="20"/>
        </w:rPr>
        <w:t>gNB</w:t>
      </w:r>
      <w:proofErr w:type="spellEnd"/>
      <w:r w:rsidRPr="00CE0EC4">
        <w:rPr>
          <w:rFonts w:ascii="Times New Roman" w:eastAsia="Times New Roman" w:hAnsi="Times New Roman" w:cs="Times New Roman"/>
          <w:kern w:val="0"/>
          <w:sz w:val="20"/>
          <w:szCs w:val="20"/>
        </w:rPr>
        <w:t>-CU configuration update procedure.</w:t>
      </w:r>
    </w:p>
    <w:p w14:paraId="763F710C" w14:textId="41D9B90B" w:rsidR="00921A39" w:rsidRDefault="00921A39" w:rsidP="00921A3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 w:rsidRPr="00484705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Proposal </w:t>
      </w:r>
      <w:r w:rsidR="00CF4E56">
        <w:rPr>
          <w:rFonts w:ascii="Times New Roman" w:hAnsi="Times New Roman" w:cs="Times New Roman"/>
          <w:b/>
          <w:bCs/>
          <w:kern w:val="0"/>
          <w:sz w:val="20"/>
          <w:szCs w:val="20"/>
        </w:rPr>
        <w:t>3</w:t>
      </w:r>
      <w:r w:rsidRPr="00484705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: For </w:t>
      </w:r>
      <w:r w:rsidRPr="00921A3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distributed </w:t>
      </w:r>
      <w:r w:rsidRPr="00484705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PCI assignment in split </w:t>
      </w:r>
      <w:proofErr w:type="spellStart"/>
      <w:r w:rsidRPr="00484705">
        <w:rPr>
          <w:rFonts w:ascii="Times New Roman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Pr="00484705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architecture, 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mobile IAB-node may report the PCI list assigned by its OAM to IAB-donor-CU, and </w:t>
      </w:r>
      <w:r w:rsidRPr="00921A39">
        <w:rPr>
          <w:rFonts w:ascii="Times New Roman" w:hAnsi="Times New Roman" w:cs="Times New Roman"/>
          <w:b/>
          <w:bCs/>
          <w:kern w:val="0"/>
          <w:sz w:val="20"/>
          <w:szCs w:val="20"/>
        </w:rPr>
        <w:t>the IAB-donor-CU may select a new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PCI value from the PCI list to upon PCI collision,</w:t>
      </w:r>
      <w:r>
        <w:rPr>
          <w:rFonts w:ascii="Times New Roman" w:hAnsi="Times New Roman" w:cs="Times New Roman" w:hint="eastAsia"/>
          <w:b/>
          <w:bCs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>i</w:t>
      </w:r>
      <w:r w:rsidRPr="00CD5BAF">
        <w:rPr>
          <w:rFonts w:ascii="Times New Roman" w:hAnsi="Times New Roman" w:cs="Times New Roman"/>
          <w:b/>
          <w:bCs/>
          <w:kern w:val="0"/>
          <w:sz w:val="20"/>
          <w:szCs w:val="20"/>
        </w:rPr>
        <w:t>f mobile IAB-node and IAB-donor-CU are served by different OAMs</w:t>
      </w:r>
      <w:r w:rsidRPr="00484705">
        <w:rPr>
          <w:rFonts w:ascii="Times New Roman" w:hAnsi="Times New Roman" w:cs="Times New Roman"/>
          <w:b/>
          <w:bCs/>
          <w:kern w:val="0"/>
          <w:sz w:val="20"/>
          <w:szCs w:val="20"/>
        </w:rPr>
        <w:t>.</w:t>
      </w:r>
    </w:p>
    <w:p w14:paraId="7A1DA3AD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宋体" w:hAnsi="Arial" w:cs="Times New Roman"/>
          <w:kern w:val="0"/>
          <w:sz w:val="36"/>
          <w:szCs w:val="36"/>
          <w:lang w:val="en-GB"/>
        </w:rPr>
        <w:lastRenderedPageBreak/>
        <w:t>Conclusion</w:t>
      </w:r>
    </w:p>
    <w:p w14:paraId="5E1D131E" w14:textId="751AEA6E" w:rsidR="00AA3FAE" w:rsidRDefault="00AA3FAE" w:rsidP="00AA3FA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A3FAE">
        <w:rPr>
          <w:rFonts w:ascii="Times New Roman" w:eastAsia="宋体" w:hAnsi="Times New Roman" w:cs="Times New Roman"/>
          <w:kern w:val="0"/>
          <w:sz w:val="20"/>
          <w:szCs w:val="20"/>
        </w:rPr>
        <w:t>Th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is contribution aims to</w:t>
      </w:r>
      <w:r w:rsidR="00C00903" w:rsidRP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discuss </w:t>
      </w:r>
      <w:r w:rsidR="003A68EF">
        <w:rPr>
          <w:rFonts w:ascii="Times New Roman" w:eastAsia="宋体" w:hAnsi="Times New Roman" w:cs="Times New Roman"/>
          <w:kern w:val="0"/>
          <w:sz w:val="20"/>
          <w:szCs w:val="20"/>
        </w:rPr>
        <w:t>potential i</w:t>
      </w:r>
      <w:r w:rsidR="003A68EF" w:rsidRPr="00710426">
        <w:rPr>
          <w:rFonts w:ascii="Times New Roman" w:eastAsia="宋体" w:hAnsi="Times New Roman" w:cs="Times New Roman"/>
          <w:kern w:val="0"/>
          <w:sz w:val="20"/>
          <w:szCs w:val="20"/>
        </w:rPr>
        <w:t xml:space="preserve">nterference mitigation </w:t>
      </w:r>
      <w:r w:rsidR="003A68EF">
        <w:rPr>
          <w:rFonts w:ascii="Times New Roman" w:eastAsia="宋体" w:hAnsi="Times New Roman" w:cs="Times New Roman"/>
          <w:kern w:val="0"/>
          <w:sz w:val="20"/>
          <w:szCs w:val="20"/>
        </w:rPr>
        <w:t>for</w:t>
      </w:r>
      <w:r w:rsidR="003A68EF" w:rsidRPr="00710426">
        <w:rPr>
          <w:rFonts w:ascii="Times New Roman" w:eastAsia="宋体" w:hAnsi="Times New Roman" w:cs="Times New Roman"/>
          <w:kern w:val="0"/>
          <w:sz w:val="20"/>
          <w:szCs w:val="20"/>
        </w:rPr>
        <w:t xml:space="preserve"> mobile IAB-node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. And following observations and proposals are concluded.</w:t>
      </w:r>
      <w:r w:rsidR="00385E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p w14:paraId="23184145" w14:textId="71559BFD" w:rsidR="00546280" w:rsidRDefault="00546280" w:rsidP="00546280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Observation 1: In case of partial migration, F1-terminating IAB-donor-CU can detect the potential PCI collision based on the serving cell information and </w:t>
      </w:r>
      <w:proofErr w:type="spellStart"/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>neighbour</w:t>
      </w:r>
      <w:proofErr w:type="spellEnd"/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cell information in the </w:t>
      </w:r>
      <w:proofErr w:type="spellStart"/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message if there is </w:t>
      </w:r>
      <w:proofErr w:type="spellStart"/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connection between the F1-terminating IAB-donor-CU and the RRC-terminating IAB-donor-CU.</w:t>
      </w:r>
    </w:p>
    <w:p w14:paraId="7C4E313E" w14:textId="22311EF1" w:rsidR="00CF4E56" w:rsidRPr="00CF4E56" w:rsidRDefault="00CF4E56" w:rsidP="00546280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>Observation 2</w:t>
      </w:r>
      <w:r w:rsidRPr="00CE0EC4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: In case of partial migration without </w:t>
      </w:r>
      <w:proofErr w:type="spellStart"/>
      <w:r w:rsidRPr="00CE0EC4">
        <w:rPr>
          <w:rFonts w:ascii="Times New Roman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Pr="00CE0EC4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connection, </w:t>
      </w:r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>F1-terminating IAB-donor-CU can detect the potential PCI collision based on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</w:t>
      </w:r>
      <w:r w:rsidRPr="00FA6B14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measurement report from 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served </w:t>
      </w:r>
      <w:r w:rsidRPr="00FA6B14">
        <w:rPr>
          <w:rFonts w:ascii="Times New Roman" w:hAnsi="Times New Roman" w:cs="Times New Roman"/>
          <w:b/>
          <w:bCs/>
          <w:kern w:val="0"/>
          <w:sz w:val="20"/>
          <w:szCs w:val="20"/>
        </w:rPr>
        <w:t>UE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>s</w:t>
      </w:r>
      <w:r w:rsidRPr="00CE0EC4">
        <w:rPr>
          <w:rFonts w:ascii="Times New Roman" w:hAnsi="Times New Roman" w:cs="Times New Roman"/>
          <w:b/>
          <w:bCs/>
          <w:kern w:val="0"/>
          <w:sz w:val="20"/>
          <w:szCs w:val="20"/>
        </w:rPr>
        <w:t>.</w:t>
      </w:r>
    </w:p>
    <w:p w14:paraId="38A1ABE8" w14:textId="77777777" w:rsidR="00422A79" w:rsidRPr="00486BA3" w:rsidRDefault="00422A79" w:rsidP="00422A7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 w:rsidRPr="00486BA3">
        <w:rPr>
          <w:rFonts w:ascii="Times New Roman" w:hAnsi="Times New Roman" w:cs="Times New Roman" w:hint="eastAsia"/>
          <w:b/>
          <w:bCs/>
          <w:kern w:val="0"/>
          <w:sz w:val="20"/>
          <w:szCs w:val="20"/>
        </w:rPr>
        <w:t>P</w:t>
      </w:r>
      <w:r w:rsidRPr="00486BA3">
        <w:rPr>
          <w:rFonts w:ascii="Times New Roman" w:hAnsi="Times New Roman" w:cs="Times New Roman"/>
          <w:b/>
          <w:bCs/>
          <w:kern w:val="0"/>
          <w:sz w:val="20"/>
          <w:szCs w:val="20"/>
        </w:rPr>
        <w:t>roposal 1: To avoid PCI collision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of mobile IAB-node</w:t>
      </w:r>
      <w:r w:rsidRPr="00486BA3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, </w:t>
      </w:r>
      <w:r w:rsidRPr="00486BA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the F1-terminating IAB-donor-CU of the mobile IAB-node can activate a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target </w:t>
      </w:r>
      <w:r w:rsidRPr="00486BA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cell with new PCI in the same IAB-DU, and perform </w:t>
      </w:r>
      <w:proofErr w:type="gramStart"/>
      <w:r w:rsidRPr="00486BA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handover</w:t>
      </w:r>
      <w:proofErr w:type="gramEnd"/>
      <w:r w:rsidRPr="00486BA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for all connected UEs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to the target cell </w:t>
      </w:r>
      <w:r w:rsidRPr="00486BA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via the Intra-</w:t>
      </w:r>
      <w:proofErr w:type="spellStart"/>
      <w:r w:rsidRPr="00486BA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Pr="00486BA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-DU handover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procedure</w:t>
      </w:r>
      <w:r w:rsidRPr="00486BA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27CA8CF3" w14:textId="0C9EE0C4" w:rsidR="00FF72CB" w:rsidRPr="00484705" w:rsidRDefault="00FF72CB" w:rsidP="00FF72CB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 w:rsidRPr="00484705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Proposal </w:t>
      </w:r>
      <w:r w:rsidR="00CF4E56">
        <w:rPr>
          <w:rFonts w:ascii="Times New Roman" w:hAnsi="Times New Roman" w:cs="Times New Roman"/>
          <w:b/>
          <w:bCs/>
          <w:kern w:val="0"/>
          <w:sz w:val="20"/>
          <w:szCs w:val="20"/>
        </w:rPr>
        <w:t>2</w:t>
      </w:r>
      <w:r w:rsidRPr="00484705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: For centralized PCI assignment in split </w:t>
      </w:r>
      <w:proofErr w:type="spellStart"/>
      <w:r w:rsidRPr="00484705">
        <w:rPr>
          <w:rFonts w:ascii="Times New Roman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Pr="00484705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architecture, IAB-donor-CU and mobile IAB-node have following enhancements to legacy PCI Optimization Function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i</w:t>
      </w:r>
      <w:r w:rsidRPr="00CD5BAF">
        <w:rPr>
          <w:rFonts w:ascii="Times New Roman" w:hAnsi="Times New Roman" w:cs="Times New Roman"/>
          <w:b/>
          <w:bCs/>
          <w:kern w:val="0"/>
          <w:sz w:val="20"/>
          <w:szCs w:val="20"/>
        </w:rPr>
        <w:t>f mobile IAB-node and IAB-donor-CU are served by different OAMs</w:t>
      </w:r>
      <w:r w:rsidRPr="00484705">
        <w:rPr>
          <w:rFonts w:ascii="Times New Roman" w:hAnsi="Times New Roman" w:cs="Times New Roman"/>
          <w:b/>
          <w:bCs/>
          <w:kern w:val="0"/>
          <w:sz w:val="20"/>
          <w:szCs w:val="20"/>
        </w:rPr>
        <w:t>.</w:t>
      </w:r>
    </w:p>
    <w:p w14:paraId="208E01C6" w14:textId="77777777" w:rsidR="00FF72CB" w:rsidRPr="00484705" w:rsidRDefault="00FF72CB" w:rsidP="00FF72CB">
      <w:pPr>
        <w:pStyle w:val="ac"/>
        <w:widowControl/>
        <w:numPr>
          <w:ilvl w:val="0"/>
          <w:numId w:val="11"/>
        </w:numPr>
        <w:overflowPunct w:val="0"/>
        <w:autoSpaceDE w:val="0"/>
        <w:autoSpaceDN w:val="0"/>
        <w:adjustRightInd w:val="0"/>
        <w:spacing w:beforeLines="50" w:before="120" w:after="120"/>
        <w:ind w:firstLineChars="0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</w:rPr>
      </w:pPr>
      <w:r w:rsidRPr="00484705">
        <w:rPr>
          <w:rFonts w:ascii="Times New Roman" w:eastAsia="Times New Roman" w:hAnsi="Times New Roman" w:cs="Times New Roman"/>
          <w:b/>
          <w:bCs/>
          <w:kern w:val="0"/>
          <w:sz w:val="20"/>
          <w:szCs w:val="20"/>
        </w:rPr>
        <w:t>IAB-donor-CU informs the PCI collision to mobile IAB-node</w:t>
      </w:r>
    </w:p>
    <w:p w14:paraId="02E6C4F4" w14:textId="77777777" w:rsidR="00FF72CB" w:rsidRPr="00484705" w:rsidRDefault="00FF72CB" w:rsidP="00FF72CB">
      <w:pPr>
        <w:pStyle w:val="ac"/>
        <w:widowControl/>
        <w:numPr>
          <w:ilvl w:val="0"/>
          <w:numId w:val="11"/>
        </w:numPr>
        <w:overflowPunct w:val="0"/>
        <w:autoSpaceDE w:val="0"/>
        <w:autoSpaceDN w:val="0"/>
        <w:adjustRightInd w:val="0"/>
        <w:spacing w:beforeLines="50" w:before="120" w:after="120"/>
        <w:ind w:firstLineChars="0"/>
        <w:textAlignment w:val="baseline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 w:rsidRPr="00484705">
        <w:rPr>
          <w:rFonts w:ascii="Times New Roman" w:eastAsia="Times New Roman" w:hAnsi="Times New Roman" w:cs="Times New Roman"/>
          <w:b/>
          <w:bCs/>
          <w:kern w:val="0"/>
          <w:sz w:val="20"/>
          <w:szCs w:val="20"/>
        </w:rPr>
        <w:t>Mobile IAB-node reports the new PCI to IAB-donor-CU</w:t>
      </w:r>
    </w:p>
    <w:p w14:paraId="6A1E64B5" w14:textId="0C788C0B" w:rsidR="00FF72CB" w:rsidRPr="00484705" w:rsidRDefault="00FF72CB" w:rsidP="00FF72CB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 w:rsidRPr="00484705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Proposal </w:t>
      </w:r>
      <w:r w:rsidR="00CF4E56">
        <w:rPr>
          <w:rFonts w:ascii="Times New Roman" w:hAnsi="Times New Roman" w:cs="Times New Roman"/>
          <w:b/>
          <w:bCs/>
          <w:kern w:val="0"/>
          <w:sz w:val="20"/>
          <w:szCs w:val="20"/>
        </w:rPr>
        <w:t>3</w:t>
      </w:r>
      <w:r w:rsidRPr="00484705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: For </w:t>
      </w:r>
      <w:r w:rsidRPr="00921A3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distributed </w:t>
      </w:r>
      <w:r w:rsidRPr="00484705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PCI assignment in split </w:t>
      </w:r>
      <w:proofErr w:type="spellStart"/>
      <w:r w:rsidRPr="00484705">
        <w:rPr>
          <w:rFonts w:ascii="Times New Roman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Pr="00484705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architecture, 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mobile IAB-node may report the PCI list assigned by its OAM to IAB-donor-CU, and </w:t>
      </w:r>
      <w:r w:rsidRPr="00921A39">
        <w:rPr>
          <w:rFonts w:ascii="Times New Roman" w:hAnsi="Times New Roman" w:cs="Times New Roman"/>
          <w:b/>
          <w:bCs/>
          <w:kern w:val="0"/>
          <w:sz w:val="20"/>
          <w:szCs w:val="20"/>
        </w:rPr>
        <w:t>the IAB-donor-CU may select a new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PCI value from the PCI list to upon PCI collision,</w:t>
      </w:r>
      <w:r>
        <w:rPr>
          <w:rFonts w:ascii="Times New Roman" w:hAnsi="Times New Roman" w:cs="Times New Roman" w:hint="eastAsia"/>
          <w:b/>
          <w:bCs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>i</w:t>
      </w:r>
      <w:r w:rsidRPr="00CD5BAF">
        <w:rPr>
          <w:rFonts w:ascii="Times New Roman" w:hAnsi="Times New Roman" w:cs="Times New Roman"/>
          <w:b/>
          <w:bCs/>
          <w:kern w:val="0"/>
          <w:sz w:val="20"/>
          <w:szCs w:val="20"/>
        </w:rPr>
        <w:t>f mobile IAB-node and IAB-donor-CU are served by different OAMs</w:t>
      </w:r>
      <w:r w:rsidRPr="00484705">
        <w:rPr>
          <w:rFonts w:ascii="Times New Roman" w:hAnsi="Times New Roman" w:cs="Times New Roman"/>
          <w:b/>
          <w:bCs/>
          <w:kern w:val="0"/>
          <w:sz w:val="20"/>
          <w:szCs w:val="20"/>
        </w:rPr>
        <w:t>.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</w:t>
      </w:r>
    </w:p>
    <w:p w14:paraId="1C734CA1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Dotum" w:hAnsi="Arial" w:cs="Times New Roman"/>
          <w:kern w:val="0"/>
          <w:sz w:val="36"/>
          <w:szCs w:val="36"/>
          <w:lang w:val="en-GB"/>
        </w:rPr>
        <w:t>Reference</w:t>
      </w:r>
    </w:p>
    <w:bookmarkEnd w:id="0"/>
    <w:bookmarkEnd w:id="1"/>
    <w:p w14:paraId="1691EE7B" w14:textId="6310101A" w:rsidR="00FF3A0E" w:rsidRDefault="00FF3A0E" w:rsidP="002F0CB9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 w:hint="eastAsia"/>
          <w:kern w:val="0"/>
          <w:sz w:val="20"/>
          <w:lang w:val="x-none"/>
        </w:rPr>
        <w:t>C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hairman notes of RAN3 117-e meeting.</w:t>
      </w:r>
    </w:p>
    <w:p w14:paraId="7A46ACE1" w14:textId="2239790F" w:rsidR="009B67DC" w:rsidRPr="009B67DC" w:rsidRDefault="009B67DC" w:rsidP="009B67DC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 w:hint="eastAsia"/>
          <w:kern w:val="0"/>
          <w:sz w:val="20"/>
          <w:lang w:val="x-none"/>
        </w:rPr>
        <w:t>C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hairman notes of RAN3 117bis-e meeting.</w:t>
      </w:r>
    </w:p>
    <w:p w14:paraId="2AFF1D3C" w14:textId="6D0FC7A0" w:rsidR="00E07038" w:rsidRPr="00546280" w:rsidRDefault="00590794" w:rsidP="00944C84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/>
          <w:kern w:val="0"/>
          <w:sz w:val="20"/>
          <w:lang w:val="x-none"/>
        </w:rPr>
        <w:t>3GPP TS 38.</w:t>
      </w:r>
      <w:r w:rsidR="0042219E">
        <w:rPr>
          <w:rFonts w:ascii="Times New Roman" w:eastAsia="宋体" w:hAnsi="Times New Roman" w:cs="Times New Roman" w:hint="eastAsia"/>
          <w:kern w:val="0"/>
          <w:sz w:val="20"/>
          <w:lang w:val="x-none"/>
        </w:rPr>
        <w:t>4</w:t>
      </w:r>
      <w:r w:rsidR="0042219E">
        <w:rPr>
          <w:rFonts w:ascii="Times New Roman" w:eastAsia="宋体" w:hAnsi="Times New Roman" w:cs="Times New Roman"/>
          <w:kern w:val="0"/>
          <w:sz w:val="20"/>
          <w:lang w:val="x-none"/>
        </w:rPr>
        <w:t>01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.</w:t>
      </w:r>
      <w:r w:rsidRPr="00590794"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Architecture description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</w:t>
      </w:r>
      <w:r w:rsidRPr="00D13826">
        <w:rPr>
          <w:rFonts w:ascii="Times New Roman" w:eastAsia="宋体" w:hAnsi="Times New Roman" w:cs="Times New Roman"/>
          <w:kern w:val="0"/>
          <w:sz w:val="20"/>
          <w:lang w:val="x-none"/>
        </w:rPr>
        <w:t>(Release 1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7</w:t>
      </w:r>
      <w:r w:rsidRPr="00D13826">
        <w:rPr>
          <w:rFonts w:ascii="Times New Roman" w:eastAsia="宋体" w:hAnsi="Times New Roman" w:cs="Times New Roman"/>
          <w:kern w:val="0"/>
          <w:sz w:val="20"/>
          <w:lang w:val="x-none"/>
        </w:rPr>
        <w:t>)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.</w:t>
      </w:r>
    </w:p>
    <w:sectPr w:rsidR="00E07038" w:rsidRPr="00546280" w:rsidSect="0085683C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36C9A" w14:textId="77777777" w:rsidR="00C8194D" w:rsidRDefault="00C8194D" w:rsidP="00AA3FAE">
      <w:r>
        <w:separator/>
      </w:r>
    </w:p>
  </w:endnote>
  <w:endnote w:type="continuationSeparator" w:id="0">
    <w:p w14:paraId="201B067D" w14:textId="77777777" w:rsidR="00C8194D" w:rsidRDefault="00C8194D" w:rsidP="00AA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otum">
    <w:altName w:val="Dotu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11677" w14:textId="77777777" w:rsidR="00B41AA4" w:rsidRDefault="00FF2385">
    <w:pPr>
      <w:pStyle w:val="a5"/>
      <w:tabs>
        <w:tab w:val="center" w:pos="4820"/>
        <w:tab w:val="right" w:pos="9639"/>
      </w:tabs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6606E" w14:textId="77777777" w:rsidR="00C8194D" w:rsidRDefault="00C8194D" w:rsidP="00AA3FAE">
      <w:r>
        <w:separator/>
      </w:r>
    </w:p>
  </w:footnote>
  <w:footnote w:type="continuationSeparator" w:id="0">
    <w:p w14:paraId="4AB28F15" w14:textId="77777777" w:rsidR="00C8194D" w:rsidRDefault="00C8194D" w:rsidP="00AA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24677" w14:textId="77777777" w:rsidR="00B41AA4" w:rsidRDefault="00FF238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04FA4"/>
    <w:multiLevelType w:val="hybridMultilevel"/>
    <w:tmpl w:val="0A6E7828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882AE4"/>
    <w:multiLevelType w:val="hybridMultilevel"/>
    <w:tmpl w:val="FFB4620A"/>
    <w:lvl w:ilvl="0" w:tplc="B38811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3" w15:restartNumberingAfterBreak="0">
    <w:nsid w:val="4F3861C8"/>
    <w:multiLevelType w:val="hybridMultilevel"/>
    <w:tmpl w:val="FB9655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58E7410"/>
    <w:multiLevelType w:val="hybridMultilevel"/>
    <w:tmpl w:val="BE961BDC"/>
    <w:lvl w:ilvl="0" w:tplc="4B764A1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3E583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2443CF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A224ED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A68706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ECA588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E4250A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93ECD0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8B077C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58603255"/>
    <w:multiLevelType w:val="hybridMultilevel"/>
    <w:tmpl w:val="383E1D20"/>
    <w:lvl w:ilvl="0" w:tplc="3566E41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63493FEE"/>
    <w:multiLevelType w:val="hybridMultilevel"/>
    <w:tmpl w:val="0DAAB3B2"/>
    <w:lvl w:ilvl="0" w:tplc="0A2C8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59"/>
        </w:tabs>
        <w:ind w:left="35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9" w15:restartNumberingAfterBreak="0">
    <w:nsid w:val="765F5D59"/>
    <w:multiLevelType w:val="hybridMultilevel"/>
    <w:tmpl w:val="C590978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D433E5A"/>
    <w:multiLevelType w:val="hybridMultilevel"/>
    <w:tmpl w:val="94C49950"/>
    <w:lvl w:ilvl="0" w:tplc="E69A28F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87961385">
    <w:abstractNumId w:val="2"/>
  </w:num>
  <w:num w:numId="2" w16cid:durableId="236475456">
    <w:abstractNumId w:val="5"/>
  </w:num>
  <w:num w:numId="3" w16cid:durableId="407728597">
    <w:abstractNumId w:val="6"/>
  </w:num>
  <w:num w:numId="4" w16cid:durableId="1607077825">
    <w:abstractNumId w:val="8"/>
  </w:num>
  <w:num w:numId="5" w16cid:durableId="99103398">
    <w:abstractNumId w:val="0"/>
  </w:num>
  <w:num w:numId="6" w16cid:durableId="1847552592">
    <w:abstractNumId w:val="1"/>
  </w:num>
  <w:num w:numId="7" w16cid:durableId="556479874">
    <w:abstractNumId w:val="9"/>
  </w:num>
  <w:num w:numId="8" w16cid:durableId="1933591050">
    <w:abstractNumId w:val="3"/>
  </w:num>
  <w:num w:numId="9" w16cid:durableId="746877080">
    <w:abstractNumId w:val="7"/>
  </w:num>
  <w:num w:numId="10" w16cid:durableId="893665946">
    <w:abstractNumId w:val="4"/>
  </w:num>
  <w:num w:numId="11" w16cid:durableId="14999547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2113"/>
    <w:rsid w:val="000024F1"/>
    <w:rsid w:val="00006F15"/>
    <w:rsid w:val="0000703A"/>
    <w:rsid w:val="00011F5D"/>
    <w:rsid w:val="00017A52"/>
    <w:rsid w:val="000219A1"/>
    <w:rsid w:val="00022004"/>
    <w:rsid w:val="00022A6F"/>
    <w:rsid w:val="00024188"/>
    <w:rsid w:val="00026089"/>
    <w:rsid w:val="000306D0"/>
    <w:rsid w:val="00032116"/>
    <w:rsid w:val="00035328"/>
    <w:rsid w:val="00035983"/>
    <w:rsid w:val="00047E11"/>
    <w:rsid w:val="000505CB"/>
    <w:rsid w:val="00053336"/>
    <w:rsid w:val="000566E1"/>
    <w:rsid w:val="00060A16"/>
    <w:rsid w:val="000613CF"/>
    <w:rsid w:val="0006683B"/>
    <w:rsid w:val="00070D39"/>
    <w:rsid w:val="00072D31"/>
    <w:rsid w:val="000743D9"/>
    <w:rsid w:val="0007706D"/>
    <w:rsid w:val="000821E8"/>
    <w:rsid w:val="00083662"/>
    <w:rsid w:val="00086B95"/>
    <w:rsid w:val="000874BB"/>
    <w:rsid w:val="000942DC"/>
    <w:rsid w:val="00095520"/>
    <w:rsid w:val="0009781A"/>
    <w:rsid w:val="000A18DF"/>
    <w:rsid w:val="000A3D7E"/>
    <w:rsid w:val="000B1D18"/>
    <w:rsid w:val="000B7C20"/>
    <w:rsid w:val="000C0937"/>
    <w:rsid w:val="000C15D9"/>
    <w:rsid w:val="000C3F89"/>
    <w:rsid w:val="000C7510"/>
    <w:rsid w:val="000D0A67"/>
    <w:rsid w:val="000D3ADF"/>
    <w:rsid w:val="000D4846"/>
    <w:rsid w:val="000D5F51"/>
    <w:rsid w:val="000E24D5"/>
    <w:rsid w:val="000E52E6"/>
    <w:rsid w:val="000E61B1"/>
    <w:rsid w:val="000E651D"/>
    <w:rsid w:val="000E706D"/>
    <w:rsid w:val="000F0260"/>
    <w:rsid w:val="000F6A9D"/>
    <w:rsid w:val="000F7E87"/>
    <w:rsid w:val="00100689"/>
    <w:rsid w:val="00101812"/>
    <w:rsid w:val="00107AD8"/>
    <w:rsid w:val="00111B28"/>
    <w:rsid w:val="0011469E"/>
    <w:rsid w:val="00121955"/>
    <w:rsid w:val="00123848"/>
    <w:rsid w:val="00130515"/>
    <w:rsid w:val="00134A9A"/>
    <w:rsid w:val="00134C0A"/>
    <w:rsid w:val="001353CD"/>
    <w:rsid w:val="00137B7C"/>
    <w:rsid w:val="001403B2"/>
    <w:rsid w:val="0015062E"/>
    <w:rsid w:val="0015523D"/>
    <w:rsid w:val="001556FC"/>
    <w:rsid w:val="00161A1A"/>
    <w:rsid w:val="001623DF"/>
    <w:rsid w:val="00162FFF"/>
    <w:rsid w:val="0017256C"/>
    <w:rsid w:val="00172D96"/>
    <w:rsid w:val="0017356D"/>
    <w:rsid w:val="001847E8"/>
    <w:rsid w:val="0018528A"/>
    <w:rsid w:val="00190FAF"/>
    <w:rsid w:val="00192908"/>
    <w:rsid w:val="0019499C"/>
    <w:rsid w:val="0019595A"/>
    <w:rsid w:val="001A2383"/>
    <w:rsid w:val="001A38C6"/>
    <w:rsid w:val="001A44C7"/>
    <w:rsid w:val="001B0C57"/>
    <w:rsid w:val="001B31AB"/>
    <w:rsid w:val="001B4DEE"/>
    <w:rsid w:val="001B62E7"/>
    <w:rsid w:val="001C0F1D"/>
    <w:rsid w:val="001C3355"/>
    <w:rsid w:val="001D1646"/>
    <w:rsid w:val="001D5289"/>
    <w:rsid w:val="001D64DD"/>
    <w:rsid w:val="001D781E"/>
    <w:rsid w:val="001E31B9"/>
    <w:rsid w:val="001E3861"/>
    <w:rsid w:val="001E3B95"/>
    <w:rsid w:val="001F0325"/>
    <w:rsid w:val="001F34D3"/>
    <w:rsid w:val="001F5824"/>
    <w:rsid w:val="00200B66"/>
    <w:rsid w:val="002070BF"/>
    <w:rsid w:val="00213791"/>
    <w:rsid w:val="0022248C"/>
    <w:rsid w:val="00222F62"/>
    <w:rsid w:val="00227B13"/>
    <w:rsid w:val="00230B9F"/>
    <w:rsid w:val="00232519"/>
    <w:rsid w:val="00233CFB"/>
    <w:rsid w:val="00234C1A"/>
    <w:rsid w:val="0024433A"/>
    <w:rsid w:val="00245134"/>
    <w:rsid w:val="00245E3F"/>
    <w:rsid w:val="002500C6"/>
    <w:rsid w:val="00252938"/>
    <w:rsid w:val="00256265"/>
    <w:rsid w:val="00256648"/>
    <w:rsid w:val="00261529"/>
    <w:rsid w:val="002719DB"/>
    <w:rsid w:val="00273BFE"/>
    <w:rsid w:val="00277010"/>
    <w:rsid w:val="00281EF8"/>
    <w:rsid w:val="00283294"/>
    <w:rsid w:val="00286C7E"/>
    <w:rsid w:val="0028711C"/>
    <w:rsid w:val="00292940"/>
    <w:rsid w:val="002A31BD"/>
    <w:rsid w:val="002A539D"/>
    <w:rsid w:val="002A5557"/>
    <w:rsid w:val="002A7108"/>
    <w:rsid w:val="002B0937"/>
    <w:rsid w:val="002B23C1"/>
    <w:rsid w:val="002B61AB"/>
    <w:rsid w:val="002B7FB5"/>
    <w:rsid w:val="002C0464"/>
    <w:rsid w:val="002C1BFE"/>
    <w:rsid w:val="002C3C9F"/>
    <w:rsid w:val="002C6DA5"/>
    <w:rsid w:val="002D1AB8"/>
    <w:rsid w:val="002D1BDF"/>
    <w:rsid w:val="002D370E"/>
    <w:rsid w:val="002D6F0D"/>
    <w:rsid w:val="002E166E"/>
    <w:rsid w:val="002E24F9"/>
    <w:rsid w:val="002F0CB9"/>
    <w:rsid w:val="002F1916"/>
    <w:rsid w:val="002F231B"/>
    <w:rsid w:val="002F4481"/>
    <w:rsid w:val="002F7DD1"/>
    <w:rsid w:val="00300F1D"/>
    <w:rsid w:val="00301B2D"/>
    <w:rsid w:val="00304AB3"/>
    <w:rsid w:val="003169C7"/>
    <w:rsid w:val="00317068"/>
    <w:rsid w:val="0031760A"/>
    <w:rsid w:val="003179AD"/>
    <w:rsid w:val="00320575"/>
    <w:rsid w:val="0032139A"/>
    <w:rsid w:val="0032255E"/>
    <w:rsid w:val="0032288E"/>
    <w:rsid w:val="00324B30"/>
    <w:rsid w:val="0033243A"/>
    <w:rsid w:val="00340F49"/>
    <w:rsid w:val="00341F62"/>
    <w:rsid w:val="00343D32"/>
    <w:rsid w:val="0035034A"/>
    <w:rsid w:val="003521C3"/>
    <w:rsid w:val="00362F2C"/>
    <w:rsid w:val="00364AC3"/>
    <w:rsid w:val="00373427"/>
    <w:rsid w:val="0037691B"/>
    <w:rsid w:val="00384956"/>
    <w:rsid w:val="00385E03"/>
    <w:rsid w:val="003901C4"/>
    <w:rsid w:val="003912D7"/>
    <w:rsid w:val="003976B5"/>
    <w:rsid w:val="003A0B1A"/>
    <w:rsid w:val="003A18F1"/>
    <w:rsid w:val="003A4A2A"/>
    <w:rsid w:val="003A5735"/>
    <w:rsid w:val="003A68EF"/>
    <w:rsid w:val="003B170E"/>
    <w:rsid w:val="003B23AD"/>
    <w:rsid w:val="003B3394"/>
    <w:rsid w:val="003B4C4B"/>
    <w:rsid w:val="003B753E"/>
    <w:rsid w:val="003C172B"/>
    <w:rsid w:val="003C2705"/>
    <w:rsid w:val="003C333E"/>
    <w:rsid w:val="003C6CEF"/>
    <w:rsid w:val="003D1F7C"/>
    <w:rsid w:val="003D4393"/>
    <w:rsid w:val="003E25E3"/>
    <w:rsid w:val="003E65A1"/>
    <w:rsid w:val="003F22E5"/>
    <w:rsid w:val="003F2D27"/>
    <w:rsid w:val="003F2E3B"/>
    <w:rsid w:val="003F5217"/>
    <w:rsid w:val="00402DFA"/>
    <w:rsid w:val="0040415F"/>
    <w:rsid w:val="0040527B"/>
    <w:rsid w:val="00405361"/>
    <w:rsid w:val="004054EB"/>
    <w:rsid w:val="00410D54"/>
    <w:rsid w:val="004139B5"/>
    <w:rsid w:val="004139F0"/>
    <w:rsid w:val="00415D56"/>
    <w:rsid w:val="0042219E"/>
    <w:rsid w:val="00422A79"/>
    <w:rsid w:val="00431BB4"/>
    <w:rsid w:val="00437048"/>
    <w:rsid w:val="0043789D"/>
    <w:rsid w:val="00445267"/>
    <w:rsid w:val="00445609"/>
    <w:rsid w:val="004561FF"/>
    <w:rsid w:val="00460BC2"/>
    <w:rsid w:val="00460E08"/>
    <w:rsid w:val="00461164"/>
    <w:rsid w:val="0046367F"/>
    <w:rsid w:val="004646DC"/>
    <w:rsid w:val="00470777"/>
    <w:rsid w:val="004774BA"/>
    <w:rsid w:val="0047779A"/>
    <w:rsid w:val="00482C89"/>
    <w:rsid w:val="00482EDB"/>
    <w:rsid w:val="00484705"/>
    <w:rsid w:val="00486BA3"/>
    <w:rsid w:val="00487DC1"/>
    <w:rsid w:val="00492019"/>
    <w:rsid w:val="00493281"/>
    <w:rsid w:val="004958CF"/>
    <w:rsid w:val="00496C05"/>
    <w:rsid w:val="004A40B8"/>
    <w:rsid w:val="004A4FFF"/>
    <w:rsid w:val="004A7B5F"/>
    <w:rsid w:val="004B04C5"/>
    <w:rsid w:val="004B453E"/>
    <w:rsid w:val="004B516C"/>
    <w:rsid w:val="004B5B72"/>
    <w:rsid w:val="004B5BA7"/>
    <w:rsid w:val="004B5F55"/>
    <w:rsid w:val="004C1E05"/>
    <w:rsid w:val="004C4B68"/>
    <w:rsid w:val="004C5905"/>
    <w:rsid w:val="004C753F"/>
    <w:rsid w:val="004D23F2"/>
    <w:rsid w:val="004D54D2"/>
    <w:rsid w:val="004E0968"/>
    <w:rsid w:val="004E3894"/>
    <w:rsid w:val="004E7396"/>
    <w:rsid w:val="004F17F8"/>
    <w:rsid w:val="004F1FBE"/>
    <w:rsid w:val="004F638B"/>
    <w:rsid w:val="004F7753"/>
    <w:rsid w:val="004F7F21"/>
    <w:rsid w:val="004F7FA8"/>
    <w:rsid w:val="00502253"/>
    <w:rsid w:val="0052218C"/>
    <w:rsid w:val="005237AE"/>
    <w:rsid w:val="00524065"/>
    <w:rsid w:val="00524DF3"/>
    <w:rsid w:val="00525376"/>
    <w:rsid w:val="00530F9F"/>
    <w:rsid w:val="00531731"/>
    <w:rsid w:val="00532DEC"/>
    <w:rsid w:val="005347E6"/>
    <w:rsid w:val="005355E0"/>
    <w:rsid w:val="00542822"/>
    <w:rsid w:val="00542A22"/>
    <w:rsid w:val="00546280"/>
    <w:rsid w:val="00547870"/>
    <w:rsid w:val="005508EC"/>
    <w:rsid w:val="00550D47"/>
    <w:rsid w:val="00555709"/>
    <w:rsid w:val="00555D66"/>
    <w:rsid w:val="0055674D"/>
    <w:rsid w:val="00557AC7"/>
    <w:rsid w:val="00560BE1"/>
    <w:rsid w:val="00561078"/>
    <w:rsid w:val="00561F85"/>
    <w:rsid w:val="00562772"/>
    <w:rsid w:val="00564234"/>
    <w:rsid w:val="005649B3"/>
    <w:rsid w:val="0056637F"/>
    <w:rsid w:val="00571FC2"/>
    <w:rsid w:val="005734BC"/>
    <w:rsid w:val="005750E7"/>
    <w:rsid w:val="00576069"/>
    <w:rsid w:val="00583B3A"/>
    <w:rsid w:val="00587CBF"/>
    <w:rsid w:val="00590794"/>
    <w:rsid w:val="005939B2"/>
    <w:rsid w:val="00594E0D"/>
    <w:rsid w:val="005A0141"/>
    <w:rsid w:val="005A6CE0"/>
    <w:rsid w:val="005A7B59"/>
    <w:rsid w:val="005B4B3A"/>
    <w:rsid w:val="005B7597"/>
    <w:rsid w:val="005C686B"/>
    <w:rsid w:val="005C6EEA"/>
    <w:rsid w:val="005D286B"/>
    <w:rsid w:val="005E550E"/>
    <w:rsid w:val="005E7BCB"/>
    <w:rsid w:val="005F43A6"/>
    <w:rsid w:val="005F5BD1"/>
    <w:rsid w:val="00600143"/>
    <w:rsid w:val="006040E0"/>
    <w:rsid w:val="00604CC3"/>
    <w:rsid w:val="00605573"/>
    <w:rsid w:val="00607C4A"/>
    <w:rsid w:val="00612ED9"/>
    <w:rsid w:val="006215A5"/>
    <w:rsid w:val="006231C3"/>
    <w:rsid w:val="00623643"/>
    <w:rsid w:val="0062366C"/>
    <w:rsid w:val="00625208"/>
    <w:rsid w:val="0062793F"/>
    <w:rsid w:val="00632A14"/>
    <w:rsid w:val="0063421A"/>
    <w:rsid w:val="00644E2C"/>
    <w:rsid w:val="00650299"/>
    <w:rsid w:val="00662469"/>
    <w:rsid w:val="00666EA1"/>
    <w:rsid w:val="00674202"/>
    <w:rsid w:val="006749D1"/>
    <w:rsid w:val="00677632"/>
    <w:rsid w:val="00683F02"/>
    <w:rsid w:val="00683F4C"/>
    <w:rsid w:val="00684A40"/>
    <w:rsid w:val="00687312"/>
    <w:rsid w:val="00687695"/>
    <w:rsid w:val="00696619"/>
    <w:rsid w:val="006A3137"/>
    <w:rsid w:val="006A3783"/>
    <w:rsid w:val="006A53D6"/>
    <w:rsid w:val="006B0FE9"/>
    <w:rsid w:val="006B2280"/>
    <w:rsid w:val="006C1E84"/>
    <w:rsid w:val="006D01B7"/>
    <w:rsid w:val="006D1A36"/>
    <w:rsid w:val="006D2AEE"/>
    <w:rsid w:val="006D6F3D"/>
    <w:rsid w:val="006E2F17"/>
    <w:rsid w:val="006E554E"/>
    <w:rsid w:val="006E5A0A"/>
    <w:rsid w:val="006E7976"/>
    <w:rsid w:val="006E7CED"/>
    <w:rsid w:val="006E7FE8"/>
    <w:rsid w:val="006F50AC"/>
    <w:rsid w:val="006F7FD3"/>
    <w:rsid w:val="00703BAA"/>
    <w:rsid w:val="00705A56"/>
    <w:rsid w:val="0070723A"/>
    <w:rsid w:val="00707369"/>
    <w:rsid w:val="00710426"/>
    <w:rsid w:val="00712644"/>
    <w:rsid w:val="00715902"/>
    <w:rsid w:val="007209B0"/>
    <w:rsid w:val="00730BC7"/>
    <w:rsid w:val="00732AEF"/>
    <w:rsid w:val="00736D28"/>
    <w:rsid w:val="00737853"/>
    <w:rsid w:val="007452B6"/>
    <w:rsid w:val="00746F35"/>
    <w:rsid w:val="0075025C"/>
    <w:rsid w:val="0075187D"/>
    <w:rsid w:val="00751A34"/>
    <w:rsid w:val="00754B91"/>
    <w:rsid w:val="00765057"/>
    <w:rsid w:val="0076720C"/>
    <w:rsid w:val="00770C1B"/>
    <w:rsid w:val="00772978"/>
    <w:rsid w:val="00772E0B"/>
    <w:rsid w:val="00780AEB"/>
    <w:rsid w:val="0078172C"/>
    <w:rsid w:val="00782B38"/>
    <w:rsid w:val="007846F4"/>
    <w:rsid w:val="007A2063"/>
    <w:rsid w:val="007C0367"/>
    <w:rsid w:val="007C4A72"/>
    <w:rsid w:val="007D06AC"/>
    <w:rsid w:val="007E0C15"/>
    <w:rsid w:val="007E1B20"/>
    <w:rsid w:val="007F0029"/>
    <w:rsid w:val="007F1EE6"/>
    <w:rsid w:val="007F2A4D"/>
    <w:rsid w:val="007F2E5B"/>
    <w:rsid w:val="007F6218"/>
    <w:rsid w:val="007F72C7"/>
    <w:rsid w:val="00811326"/>
    <w:rsid w:val="008127B6"/>
    <w:rsid w:val="00813C06"/>
    <w:rsid w:val="00820313"/>
    <w:rsid w:val="00823F00"/>
    <w:rsid w:val="00825F46"/>
    <w:rsid w:val="00832BE1"/>
    <w:rsid w:val="00835D29"/>
    <w:rsid w:val="00836D01"/>
    <w:rsid w:val="0084197E"/>
    <w:rsid w:val="00843CDE"/>
    <w:rsid w:val="00844B51"/>
    <w:rsid w:val="00846F8C"/>
    <w:rsid w:val="008522C2"/>
    <w:rsid w:val="00864DEE"/>
    <w:rsid w:val="00865F65"/>
    <w:rsid w:val="00866ED3"/>
    <w:rsid w:val="00870252"/>
    <w:rsid w:val="008714A7"/>
    <w:rsid w:val="00881EEB"/>
    <w:rsid w:val="0088224B"/>
    <w:rsid w:val="00885223"/>
    <w:rsid w:val="00885F05"/>
    <w:rsid w:val="0088742B"/>
    <w:rsid w:val="00887EAA"/>
    <w:rsid w:val="008924B1"/>
    <w:rsid w:val="0089705F"/>
    <w:rsid w:val="008974CD"/>
    <w:rsid w:val="008A6D83"/>
    <w:rsid w:val="008B1345"/>
    <w:rsid w:val="008B1CAD"/>
    <w:rsid w:val="008B3D16"/>
    <w:rsid w:val="008B4CFB"/>
    <w:rsid w:val="008B7932"/>
    <w:rsid w:val="008B7D21"/>
    <w:rsid w:val="008C1569"/>
    <w:rsid w:val="008C26CC"/>
    <w:rsid w:val="008C49F7"/>
    <w:rsid w:val="008C6F10"/>
    <w:rsid w:val="008C7F51"/>
    <w:rsid w:val="008D3D70"/>
    <w:rsid w:val="008D7810"/>
    <w:rsid w:val="008E0ECE"/>
    <w:rsid w:val="008E4D2F"/>
    <w:rsid w:val="008E59A7"/>
    <w:rsid w:val="008F063F"/>
    <w:rsid w:val="008F2DC7"/>
    <w:rsid w:val="008F2F0A"/>
    <w:rsid w:val="008F3B09"/>
    <w:rsid w:val="00906767"/>
    <w:rsid w:val="009113BD"/>
    <w:rsid w:val="009174F1"/>
    <w:rsid w:val="00920490"/>
    <w:rsid w:val="00921A39"/>
    <w:rsid w:val="00922240"/>
    <w:rsid w:val="009235C8"/>
    <w:rsid w:val="009259CA"/>
    <w:rsid w:val="0092699C"/>
    <w:rsid w:val="00926DCD"/>
    <w:rsid w:val="00930369"/>
    <w:rsid w:val="00930F2B"/>
    <w:rsid w:val="00932D3E"/>
    <w:rsid w:val="00943A26"/>
    <w:rsid w:val="00944C84"/>
    <w:rsid w:val="00952028"/>
    <w:rsid w:val="00952057"/>
    <w:rsid w:val="0095297E"/>
    <w:rsid w:val="00953570"/>
    <w:rsid w:val="009551A9"/>
    <w:rsid w:val="00957C7B"/>
    <w:rsid w:val="009607EC"/>
    <w:rsid w:val="00961CE9"/>
    <w:rsid w:val="009658E1"/>
    <w:rsid w:val="009912C5"/>
    <w:rsid w:val="00992405"/>
    <w:rsid w:val="009926ED"/>
    <w:rsid w:val="009929E9"/>
    <w:rsid w:val="00994662"/>
    <w:rsid w:val="00994907"/>
    <w:rsid w:val="009A07F1"/>
    <w:rsid w:val="009B000E"/>
    <w:rsid w:val="009B19F1"/>
    <w:rsid w:val="009B3EF1"/>
    <w:rsid w:val="009B67DC"/>
    <w:rsid w:val="009C3C24"/>
    <w:rsid w:val="009C6DD1"/>
    <w:rsid w:val="009C7F3D"/>
    <w:rsid w:val="009D5AE6"/>
    <w:rsid w:val="009D6382"/>
    <w:rsid w:val="009D7335"/>
    <w:rsid w:val="009E4AD9"/>
    <w:rsid w:val="009E4D5F"/>
    <w:rsid w:val="009E506A"/>
    <w:rsid w:val="009E7474"/>
    <w:rsid w:val="009F1E23"/>
    <w:rsid w:val="009F71E8"/>
    <w:rsid w:val="00A035AE"/>
    <w:rsid w:val="00A038AA"/>
    <w:rsid w:val="00A04D91"/>
    <w:rsid w:val="00A16F17"/>
    <w:rsid w:val="00A2110E"/>
    <w:rsid w:val="00A218C1"/>
    <w:rsid w:val="00A21C09"/>
    <w:rsid w:val="00A24E34"/>
    <w:rsid w:val="00A26D85"/>
    <w:rsid w:val="00A26E1D"/>
    <w:rsid w:val="00A27064"/>
    <w:rsid w:val="00A32157"/>
    <w:rsid w:val="00A37406"/>
    <w:rsid w:val="00A45B7F"/>
    <w:rsid w:val="00A46452"/>
    <w:rsid w:val="00A51D78"/>
    <w:rsid w:val="00A537B0"/>
    <w:rsid w:val="00A53E8A"/>
    <w:rsid w:val="00A5584E"/>
    <w:rsid w:val="00A601A2"/>
    <w:rsid w:val="00A661E2"/>
    <w:rsid w:val="00A7002F"/>
    <w:rsid w:val="00A701F8"/>
    <w:rsid w:val="00A70D29"/>
    <w:rsid w:val="00A765AC"/>
    <w:rsid w:val="00A77D6B"/>
    <w:rsid w:val="00A81646"/>
    <w:rsid w:val="00A84C0F"/>
    <w:rsid w:val="00A84D97"/>
    <w:rsid w:val="00A85027"/>
    <w:rsid w:val="00A93291"/>
    <w:rsid w:val="00A933F5"/>
    <w:rsid w:val="00AA290B"/>
    <w:rsid w:val="00AA2E85"/>
    <w:rsid w:val="00AA3FAE"/>
    <w:rsid w:val="00AA70B5"/>
    <w:rsid w:val="00AA7EAE"/>
    <w:rsid w:val="00AB0A5A"/>
    <w:rsid w:val="00AB36CC"/>
    <w:rsid w:val="00AB47C7"/>
    <w:rsid w:val="00AC25E2"/>
    <w:rsid w:val="00AC3051"/>
    <w:rsid w:val="00AC44C3"/>
    <w:rsid w:val="00AC553A"/>
    <w:rsid w:val="00AC6826"/>
    <w:rsid w:val="00AE4ACB"/>
    <w:rsid w:val="00AE669B"/>
    <w:rsid w:val="00AF05F2"/>
    <w:rsid w:val="00AF4491"/>
    <w:rsid w:val="00AF7716"/>
    <w:rsid w:val="00B0062A"/>
    <w:rsid w:val="00B02263"/>
    <w:rsid w:val="00B03B44"/>
    <w:rsid w:val="00B06DA9"/>
    <w:rsid w:val="00B12328"/>
    <w:rsid w:val="00B17651"/>
    <w:rsid w:val="00B2364A"/>
    <w:rsid w:val="00B25314"/>
    <w:rsid w:val="00B26539"/>
    <w:rsid w:val="00B33EE7"/>
    <w:rsid w:val="00B34B5A"/>
    <w:rsid w:val="00B40018"/>
    <w:rsid w:val="00B403D4"/>
    <w:rsid w:val="00B447E6"/>
    <w:rsid w:val="00B46699"/>
    <w:rsid w:val="00B50360"/>
    <w:rsid w:val="00B53E46"/>
    <w:rsid w:val="00B54002"/>
    <w:rsid w:val="00B54FE2"/>
    <w:rsid w:val="00B65204"/>
    <w:rsid w:val="00B72A52"/>
    <w:rsid w:val="00B74D0D"/>
    <w:rsid w:val="00B75694"/>
    <w:rsid w:val="00B76E38"/>
    <w:rsid w:val="00B83738"/>
    <w:rsid w:val="00B862CA"/>
    <w:rsid w:val="00B95350"/>
    <w:rsid w:val="00B95D51"/>
    <w:rsid w:val="00B97129"/>
    <w:rsid w:val="00BA0DA5"/>
    <w:rsid w:val="00BA2D04"/>
    <w:rsid w:val="00BA5E1C"/>
    <w:rsid w:val="00BA5EDA"/>
    <w:rsid w:val="00BA6553"/>
    <w:rsid w:val="00BA684C"/>
    <w:rsid w:val="00BB2FE5"/>
    <w:rsid w:val="00BB35E5"/>
    <w:rsid w:val="00BB4827"/>
    <w:rsid w:val="00BB4AC3"/>
    <w:rsid w:val="00BC12B3"/>
    <w:rsid w:val="00BC78CF"/>
    <w:rsid w:val="00BC7983"/>
    <w:rsid w:val="00BD17DA"/>
    <w:rsid w:val="00BD48C4"/>
    <w:rsid w:val="00BD6541"/>
    <w:rsid w:val="00BD738F"/>
    <w:rsid w:val="00BE0BE9"/>
    <w:rsid w:val="00BE22B6"/>
    <w:rsid w:val="00BE70DD"/>
    <w:rsid w:val="00BF13D7"/>
    <w:rsid w:val="00BF29CB"/>
    <w:rsid w:val="00BF33F7"/>
    <w:rsid w:val="00BF6DFF"/>
    <w:rsid w:val="00C003BC"/>
    <w:rsid w:val="00C00649"/>
    <w:rsid w:val="00C00903"/>
    <w:rsid w:val="00C00981"/>
    <w:rsid w:val="00C05BB5"/>
    <w:rsid w:val="00C071E0"/>
    <w:rsid w:val="00C07D41"/>
    <w:rsid w:val="00C11F54"/>
    <w:rsid w:val="00C15366"/>
    <w:rsid w:val="00C15F89"/>
    <w:rsid w:val="00C20B7E"/>
    <w:rsid w:val="00C22AF4"/>
    <w:rsid w:val="00C245B8"/>
    <w:rsid w:val="00C25734"/>
    <w:rsid w:val="00C27EF7"/>
    <w:rsid w:val="00C31487"/>
    <w:rsid w:val="00C32D7B"/>
    <w:rsid w:val="00C330D5"/>
    <w:rsid w:val="00C33396"/>
    <w:rsid w:val="00C33EEF"/>
    <w:rsid w:val="00C34B6D"/>
    <w:rsid w:val="00C35A8E"/>
    <w:rsid w:val="00C35B41"/>
    <w:rsid w:val="00C35DBA"/>
    <w:rsid w:val="00C36C8A"/>
    <w:rsid w:val="00C447AC"/>
    <w:rsid w:val="00C53D68"/>
    <w:rsid w:val="00C607C0"/>
    <w:rsid w:val="00C609F2"/>
    <w:rsid w:val="00C6567D"/>
    <w:rsid w:val="00C7223F"/>
    <w:rsid w:val="00C72915"/>
    <w:rsid w:val="00C801B5"/>
    <w:rsid w:val="00C8194D"/>
    <w:rsid w:val="00C85269"/>
    <w:rsid w:val="00C92F7E"/>
    <w:rsid w:val="00C975EA"/>
    <w:rsid w:val="00CA267C"/>
    <w:rsid w:val="00CA2C1E"/>
    <w:rsid w:val="00CA2F8B"/>
    <w:rsid w:val="00CB162A"/>
    <w:rsid w:val="00CB22EA"/>
    <w:rsid w:val="00CB3C92"/>
    <w:rsid w:val="00CC31C4"/>
    <w:rsid w:val="00CC614A"/>
    <w:rsid w:val="00CD3CA4"/>
    <w:rsid w:val="00CD5BAF"/>
    <w:rsid w:val="00CD79A8"/>
    <w:rsid w:val="00CE0EC4"/>
    <w:rsid w:val="00CE123B"/>
    <w:rsid w:val="00CF1634"/>
    <w:rsid w:val="00CF481F"/>
    <w:rsid w:val="00CF4D2F"/>
    <w:rsid w:val="00CF4E56"/>
    <w:rsid w:val="00CF620B"/>
    <w:rsid w:val="00D0010E"/>
    <w:rsid w:val="00D04CF3"/>
    <w:rsid w:val="00D104F6"/>
    <w:rsid w:val="00D10A73"/>
    <w:rsid w:val="00D13826"/>
    <w:rsid w:val="00D139BE"/>
    <w:rsid w:val="00D14264"/>
    <w:rsid w:val="00D16A9A"/>
    <w:rsid w:val="00D17D74"/>
    <w:rsid w:val="00D224C9"/>
    <w:rsid w:val="00D24B77"/>
    <w:rsid w:val="00D24EA2"/>
    <w:rsid w:val="00D3044B"/>
    <w:rsid w:val="00D307AA"/>
    <w:rsid w:val="00D355CC"/>
    <w:rsid w:val="00D416F6"/>
    <w:rsid w:val="00D418AD"/>
    <w:rsid w:val="00D44373"/>
    <w:rsid w:val="00D51E3A"/>
    <w:rsid w:val="00D523ED"/>
    <w:rsid w:val="00D54D42"/>
    <w:rsid w:val="00D56D50"/>
    <w:rsid w:val="00D647CA"/>
    <w:rsid w:val="00D65253"/>
    <w:rsid w:val="00D67F2F"/>
    <w:rsid w:val="00D73123"/>
    <w:rsid w:val="00D736E9"/>
    <w:rsid w:val="00D7562B"/>
    <w:rsid w:val="00D76F6E"/>
    <w:rsid w:val="00D8082F"/>
    <w:rsid w:val="00D81223"/>
    <w:rsid w:val="00D83A9F"/>
    <w:rsid w:val="00D84224"/>
    <w:rsid w:val="00D918B8"/>
    <w:rsid w:val="00D94565"/>
    <w:rsid w:val="00D956D6"/>
    <w:rsid w:val="00DA1F42"/>
    <w:rsid w:val="00DA3F49"/>
    <w:rsid w:val="00DB4D29"/>
    <w:rsid w:val="00DC21C1"/>
    <w:rsid w:val="00DC331A"/>
    <w:rsid w:val="00DD042C"/>
    <w:rsid w:val="00DD07BD"/>
    <w:rsid w:val="00DD43C5"/>
    <w:rsid w:val="00DD60E2"/>
    <w:rsid w:val="00DD75DA"/>
    <w:rsid w:val="00DE36BD"/>
    <w:rsid w:val="00DE67F4"/>
    <w:rsid w:val="00DF01D0"/>
    <w:rsid w:val="00DF28E0"/>
    <w:rsid w:val="00DF4F49"/>
    <w:rsid w:val="00DF5B75"/>
    <w:rsid w:val="00DF66F0"/>
    <w:rsid w:val="00E04A87"/>
    <w:rsid w:val="00E07038"/>
    <w:rsid w:val="00E07600"/>
    <w:rsid w:val="00E15A94"/>
    <w:rsid w:val="00E2281F"/>
    <w:rsid w:val="00E23C0E"/>
    <w:rsid w:val="00E27BBF"/>
    <w:rsid w:val="00E363D8"/>
    <w:rsid w:val="00E36932"/>
    <w:rsid w:val="00E42658"/>
    <w:rsid w:val="00E43975"/>
    <w:rsid w:val="00E43BBA"/>
    <w:rsid w:val="00E500C5"/>
    <w:rsid w:val="00E51A4B"/>
    <w:rsid w:val="00E51E85"/>
    <w:rsid w:val="00E52A20"/>
    <w:rsid w:val="00E55D1E"/>
    <w:rsid w:val="00E5668E"/>
    <w:rsid w:val="00E56D69"/>
    <w:rsid w:val="00E57029"/>
    <w:rsid w:val="00E609B5"/>
    <w:rsid w:val="00E61DE0"/>
    <w:rsid w:val="00E63122"/>
    <w:rsid w:val="00E63F06"/>
    <w:rsid w:val="00E64886"/>
    <w:rsid w:val="00E651CF"/>
    <w:rsid w:val="00E6798F"/>
    <w:rsid w:val="00E67E0B"/>
    <w:rsid w:val="00E724F1"/>
    <w:rsid w:val="00E7751B"/>
    <w:rsid w:val="00E808A2"/>
    <w:rsid w:val="00E809E7"/>
    <w:rsid w:val="00EA73E5"/>
    <w:rsid w:val="00EB3664"/>
    <w:rsid w:val="00EB3AF7"/>
    <w:rsid w:val="00EB5D9B"/>
    <w:rsid w:val="00ED425C"/>
    <w:rsid w:val="00EE16A5"/>
    <w:rsid w:val="00EE2B0A"/>
    <w:rsid w:val="00EE3198"/>
    <w:rsid w:val="00EE31DA"/>
    <w:rsid w:val="00EE6AEE"/>
    <w:rsid w:val="00EF4EF0"/>
    <w:rsid w:val="00EF57C9"/>
    <w:rsid w:val="00F0297E"/>
    <w:rsid w:val="00F07278"/>
    <w:rsid w:val="00F077A3"/>
    <w:rsid w:val="00F10471"/>
    <w:rsid w:val="00F112F6"/>
    <w:rsid w:val="00F158EE"/>
    <w:rsid w:val="00F1701C"/>
    <w:rsid w:val="00F32774"/>
    <w:rsid w:val="00F35CAC"/>
    <w:rsid w:val="00F438AA"/>
    <w:rsid w:val="00F445C1"/>
    <w:rsid w:val="00F448E2"/>
    <w:rsid w:val="00F52357"/>
    <w:rsid w:val="00F5322B"/>
    <w:rsid w:val="00F56AEB"/>
    <w:rsid w:val="00F6131B"/>
    <w:rsid w:val="00F61D17"/>
    <w:rsid w:val="00F62359"/>
    <w:rsid w:val="00F671B9"/>
    <w:rsid w:val="00F67B2B"/>
    <w:rsid w:val="00F7278A"/>
    <w:rsid w:val="00F729C9"/>
    <w:rsid w:val="00F738E0"/>
    <w:rsid w:val="00F7451E"/>
    <w:rsid w:val="00F77D76"/>
    <w:rsid w:val="00F80B45"/>
    <w:rsid w:val="00F862A3"/>
    <w:rsid w:val="00F862F2"/>
    <w:rsid w:val="00F9005F"/>
    <w:rsid w:val="00F910F0"/>
    <w:rsid w:val="00F9271D"/>
    <w:rsid w:val="00F92953"/>
    <w:rsid w:val="00F954B8"/>
    <w:rsid w:val="00F96856"/>
    <w:rsid w:val="00FA2BB6"/>
    <w:rsid w:val="00FA440F"/>
    <w:rsid w:val="00FA6B14"/>
    <w:rsid w:val="00FB04E0"/>
    <w:rsid w:val="00FB795E"/>
    <w:rsid w:val="00FC109E"/>
    <w:rsid w:val="00FC144A"/>
    <w:rsid w:val="00FC2163"/>
    <w:rsid w:val="00FC5406"/>
    <w:rsid w:val="00FD075D"/>
    <w:rsid w:val="00FD2CF3"/>
    <w:rsid w:val="00FD491E"/>
    <w:rsid w:val="00FD7385"/>
    <w:rsid w:val="00FE28E5"/>
    <w:rsid w:val="00FE6719"/>
    <w:rsid w:val="00FF2385"/>
    <w:rsid w:val="00FF3A0E"/>
    <w:rsid w:val="00FF4609"/>
    <w:rsid w:val="00FF5A01"/>
    <w:rsid w:val="00FF69EA"/>
    <w:rsid w:val="00FF72CB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C6354"/>
  <w15:chartTrackingRefBased/>
  <w15:docId w15:val="{1276B771-834B-4A4F-948C-F54680CA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1F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566E1"/>
    <w:rPr>
      <w:sz w:val="21"/>
      <w:szCs w:val="21"/>
    </w:rPr>
  </w:style>
  <w:style w:type="table" w:styleId="ab">
    <w:name w:val="Table Grid"/>
    <w:basedOn w:val="a1"/>
    <w:uiPriority w:val="39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1F0325"/>
    <w:pPr>
      <w:ind w:firstLineChars="200" w:firstLine="420"/>
    </w:pPr>
  </w:style>
  <w:style w:type="paragraph" w:styleId="ad">
    <w:name w:val="annotation text"/>
    <w:basedOn w:val="a"/>
    <w:link w:val="ae"/>
    <w:uiPriority w:val="99"/>
    <w:semiHidden/>
    <w:unhideWhenUsed/>
    <w:rsid w:val="0032255E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32255E"/>
  </w:style>
  <w:style w:type="paragraph" w:styleId="af">
    <w:name w:val="annotation subject"/>
    <w:basedOn w:val="ad"/>
    <w:next w:val="ad"/>
    <w:link w:val="af0"/>
    <w:uiPriority w:val="99"/>
    <w:semiHidden/>
    <w:unhideWhenUsed/>
    <w:rsid w:val="0032255E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2255E"/>
    <w:rPr>
      <w:b/>
      <w:bCs/>
    </w:rPr>
  </w:style>
  <w:style w:type="paragraph" w:customStyle="1" w:styleId="Agreement">
    <w:name w:val="Agreement"/>
    <w:basedOn w:val="a"/>
    <w:next w:val="a"/>
    <w:qFormat/>
    <w:rsid w:val="00277010"/>
    <w:pPr>
      <w:widowControl/>
      <w:numPr>
        <w:numId w:val="4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styleId="af1">
    <w:name w:val="Hyperlink"/>
    <w:uiPriority w:val="99"/>
    <w:unhideWhenUsed/>
    <w:qFormat/>
    <w:rsid w:val="00286C7E"/>
    <w:rPr>
      <w:color w:val="0000FF"/>
      <w:u w:val="single"/>
    </w:rPr>
  </w:style>
  <w:style w:type="paragraph" w:customStyle="1" w:styleId="Doc-title">
    <w:name w:val="Doc-title"/>
    <w:basedOn w:val="a"/>
    <w:next w:val="a"/>
    <w:link w:val="Doc-titleChar"/>
    <w:qFormat/>
    <w:rsid w:val="00286C7E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86C7E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paragraph" w:customStyle="1" w:styleId="maintext">
    <w:name w:val="main text"/>
    <w:basedOn w:val="a"/>
    <w:link w:val="maintextChar"/>
    <w:qFormat/>
    <w:rsid w:val="007F72C7"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7F72C7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6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603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3658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026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9015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0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697">
          <w:marLeft w:val="27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4444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5890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03647">
          <w:marLeft w:val="27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43506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5911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10840</TotalTime>
  <Pages>3</Pages>
  <Words>1320</Words>
  <Characters>7526</Characters>
  <Application>Microsoft Office Word</Application>
  <DocSecurity>0</DocSecurity>
  <Lines>62</Lines>
  <Paragraphs>17</Paragraphs>
  <ScaleCrop>false</ScaleCrop>
  <Company/>
  <LinksUpToDate>false</LinksUpToDate>
  <CharactersWithSpaces>8829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Yibin</cp:lastModifiedBy>
  <cp:revision>631</cp:revision>
  <dcterms:created xsi:type="dcterms:W3CDTF">2021-01-15T00:45:00Z</dcterms:created>
  <dcterms:modified xsi:type="dcterms:W3CDTF">2023-04-07T01:20:00Z</dcterms:modified>
</cp:coreProperties>
</file>